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70D16616" w:rsidR="0012388D" w:rsidRDefault="00772BDC" w:rsidP="00CA5734">
      <w:pPr>
        <w:rPr>
          <w:rFonts w:cs="Arial"/>
        </w:rPr>
      </w:pPr>
      <w:bookmarkStart w:id="0" w:name="_GoBack"/>
      <w:r>
        <w:rPr>
          <w:rFonts w:cs="Arial"/>
          <w:noProof/>
          <w:lang w:eastAsia="en-GB" w:bidi="ar-SA"/>
        </w:rPr>
        <w:drawing>
          <wp:inline distT="0" distB="0" distL="0" distR="0" wp14:anchorId="32DB846A" wp14:editId="2C4643D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bookmarkEnd w:id="0"/>
    <w:p w14:paraId="49AC183D" w14:textId="77777777" w:rsidR="00A671E6" w:rsidRPr="00A671E6" w:rsidRDefault="00A671E6" w:rsidP="00A671E6">
      <w:pPr>
        <w:rPr>
          <w:color w:val="FF0000"/>
        </w:rPr>
      </w:pPr>
    </w:p>
    <w:p w14:paraId="6A2AC4E8" w14:textId="2D28C5C6" w:rsidR="00A671E6" w:rsidRPr="00D05038" w:rsidRDefault="00D05038" w:rsidP="00A671E6">
      <w:pPr>
        <w:rPr>
          <w:b/>
          <w:sz w:val="28"/>
          <w:szCs w:val="28"/>
        </w:rPr>
      </w:pPr>
      <w:r w:rsidRPr="00D05038">
        <w:rPr>
          <w:b/>
          <w:sz w:val="28"/>
          <w:szCs w:val="28"/>
        </w:rPr>
        <w:t xml:space="preserve">20 December </w:t>
      </w:r>
      <w:r w:rsidR="00A66FDD" w:rsidRPr="00D05038">
        <w:rPr>
          <w:b/>
          <w:sz w:val="28"/>
          <w:szCs w:val="28"/>
        </w:rPr>
        <w:t>201</w:t>
      </w:r>
      <w:r w:rsidR="0052465A" w:rsidRPr="00D05038">
        <w:rPr>
          <w:b/>
          <w:sz w:val="28"/>
          <w:szCs w:val="28"/>
        </w:rPr>
        <w:t>9</w:t>
      </w:r>
    </w:p>
    <w:p w14:paraId="05D0F5F1" w14:textId="3AC4653D" w:rsidR="00A671E6" w:rsidRPr="00D05038" w:rsidRDefault="00A671E6" w:rsidP="00A671E6">
      <w:pPr>
        <w:rPr>
          <w:b/>
          <w:sz w:val="28"/>
          <w:szCs w:val="28"/>
        </w:rPr>
      </w:pPr>
      <w:r w:rsidRPr="00D05038">
        <w:rPr>
          <w:b/>
          <w:sz w:val="28"/>
          <w:szCs w:val="28"/>
        </w:rPr>
        <w:t>[</w:t>
      </w:r>
      <w:r w:rsidR="00D05038" w:rsidRPr="00D05038">
        <w:rPr>
          <w:b/>
          <w:sz w:val="28"/>
          <w:szCs w:val="28"/>
        </w:rPr>
        <w:t>106-19</w:t>
      </w:r>
      <w:r w:rsidRPr="00D05038">
        <w:rPr>
          <w:b/>
          <w:sz w:val="28"/>
          <w:szCs w:val="28"/>
        </w:rPr>
        <w:t>]</w:t>
      </w:r>
    </w:p>
    <w:p w14:paraId="3C77C31E" w14:textId="77777777" w:rsidR="00A671E6" w:rsidRPr="00A671E6" w:rsidRDefault="00A671E6" w:rsidP="00A671E6"/>
    <w:p w14:paraId="598521F3" w14:textId="4AC92456" w:rsidR="0012388D" w:rsidRPr="000B427A"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w:t>
      </w:r>
      <w:r w:rsidRPr="0052465A">
        <w:t xml:space="preserve">– </w:t>
      </w:r>
      <w:r w:rsidR="00EB6590" w:rsidRPr="0052465A">
        <w:t>A</w:t>
      </w:r>
      <w:r w:rsidR="00DD265C" w:rsidRPr="0052465A">
        <w:t>pplication</w:t>
      </w:r>
      <w:r w:rsidR="0052465A" w:rsidRPr="0052465A">
        <w:t xml:space="preserve"> A1155 </w:t>
      </w:r>
    </w:p>
    <w:p w14:paraId="63744F20" w14:textId="77777777" w:rsidR="003A7B84" w:rsidRPr="00CA5734" w:rsidRDefault="003A7B84" w:rsidP="00A671E6"/>
    <w:p w14:paraId="01FBDBF8" w14:textId="77777777" w:rsidR="0052465A" w:rsidRPr="007F4644" w:rsidRDefault="0052465A" w:rsidP="0052465A">
      <w:pPr>
        <w:pStyle w:val="FSTitle"/>
      </w:pPr>
      <w:r w:rsidRPr="007F4644">
        <w:t>2</w:t>
      </w:r>
      <w:r>
        <w:t>′</w:t>
      </w:r>
      <w:r w:rsidRPr="007F4644">
        <w:t>-FL and LNnT in infant formula and other products</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2FEBF455" w14:textId="7521A5DC" w:rsidR="0052465A" w:rsidRPr="0052465A" w:rsidRDefault="000F3CFE" w:rsidP="0052465A">
      <w:pPr>
        <w:rPr>
          <w:szCs w:val="22"/>
        </w:rPr>
      </w:pPr>
      <w:r w:rsidRPr="0052465A">
        <w:rPr>
          <w:szCs w:val="22"/>
        </w:rPr>
        <w:t>Food Standards Australia New Zealand (FSANZ) has</w:t>
      </w:r>
      <w:r w:rsidR="00081B0A" w:rsidRPr="0052465A">
        <w:rPr>
          <w:szCs w:val="22"/>
        </w:rPr>
        <w:t xml:space="preserve"> assessed an application</w:t>
      </w:r>
      <w:r w:rsidR="00CA5734" w:rsidRPr="0052465A">
        <w:rPr>
          <w:szCs w:val="22"/>
        </w:rPr>
        <w:t xml:space="preserve"> </w:t>
      </w:r>
      <w:r w:rsidR="00081B0A" w:rsidRPr="0052465A">
        <w:rPr>
          <w:szCs w:val="22"/>
        </w:rPr>
        <w:t xml:space="preserve">made by </w:t>
      </w:r>
      <w:r w:rsidR="0052465A" w:rsidRPr="0052465A">
        <w:rPr>
          <w:szCs w:val="22"/>
        </w:rPr>
        <w:t xml:space="preserve">Glycom A/S to permit the voluntary addition of 2′-O-fucosyllactose (2′-FL) alone or in combination with Lacto-N-neotetraose (LNnT), produced by microbial fermentation, in infant formula products and formulated supplementary foods for young children. </w:t>
      </w:r>
    </w:p>
    <w:p w14:paraId="14F32D9E" w14:textId="77777777" w:rsidR="00CA5734" w:rsidRDefault="00CA5734" w:rsidP="00CA5734"/>
    <w:p w14:paraId="5029D30D" w14:textId="26395A78" w:rsidR="00081B0A" w:rsidRDefault="00081B0A" w:rsidP="00CA5734">
      <w:r>
        <w:t xml:space="preserve">On </w:t>
      </w:r>
      <w:r w:rsidR="0052465A">
        <w:t>22 July 2019</w:t>
      </w:r>
      <w:r w:rsidR="003A7B84" w:rsidRPr="009F7D5E">
        <w:t>,</w:t>
      </w:r>
      <w:r w:rsidRPr="00CA5734">
        <w:rPr>
          <w:color w:val="FF0000"/>
        </w:rPr>
        <w:t xml:space="preserve"> </w:t>
      </w:r>
      <w:r>
        <w:t xml:space="preserve">FSANZ sought </w:t>
      </w:r>
      <w:r w:rsidR="003A7B84">
        <w:t xml:space="preserve">submissions </w:t>
      </w:r>
      <w:r w:rsidR="00A671E6">
        <w:t xml:space="preserve">on </w:t>
      </w:r>
      <w:r w:rsidR="00F526BD">
        <w:t xml:space="preserve">a </w:t>
      </w:r>
      <w:r w:rsidR="00F526BD" w:rsidRPr="00A5159F">
        <w:t xml:space="preserve">draft </w:t>
      </w:r>
      <w:r w:rsidR="00E30092" w:rsidRPr="00A5159F">
        <w:t>variation</w:t>
      </w:r>
      <w:r w:rsidR="0052465A" w:rsidRPr="00A5159F">
        <w:t xml:space="preserve"> </w:t>
      </w:r>
      <w:r w:rsidR="003A7B84" w:rsidRPr="00A5159F">
        <w:t xml:space="preserve">and </w:t>
      </w:r>
      <w:r w:rsidR="003A7B84">
        <w:t xml:space="preserve">published an </w:t>
      </w:r>
      <w:r w:rsidR="00EC21DF">
        <w:t>associated r</w:t>
      </w:r>
      <w:r w:rsidR="003A7B84">
        <w:t>eport</w:t>
      </w:r>
      <w:r>
        <w:t>.</w:t>
      </w:r>
      <w:r w:rsidR="00F526BD">
        <w:t xml:space="preserve"> FSANZ received </w:t>
      </w:r>
      <w:r w:rsidR="00BC354D">
        <w:t xml:space="preserve">twenty </w:t>
      </w:r>
      <w:r w:rsidR="00C6310F">
        <w:t xml:space="preserve">one </w:t>
      </w:r>
      <w:r w:rsidR="00F526BD">
        <w:t>submissions.</w:t>
      </w:r>
    </w:p>
    <w:p w14:paraId="6F926C97" w14:textId="77777777" w:rsidR="00BC354D" w:rsidRDefault="00BC354D" w:rsidP="00CA5734"/>
    <w:p w14:paraId="5F5CD903" w14:textId="1DB7D014" w:rsidR="00081B0A" w:rsidRDefault="00D22276" w:rsidP="00CA5734">
      <w:r>
        <w:t xml:space="preserve">The </w:t>
      </w:r>
      <w:r w:rsidR="00081B0A">
        <w:t xml:space="preserve">FSANZ </w:t>
      </w:r>
      <w:r>
        <w:t xml:space="preserve">board </w:t>
      </w:r>
      <w:r w:rsidR="00081B0A">
        <w:t xml:space="preserve">approved </w:t>
      </w:r>
      <w:r w:rsidR="00081B0A" w:rsidRPr="00A5159F">
        <w:t xml:space="preserve">the draft </w:t>
      </w:r>
      <w:r w:rsidR="00E30092" w:rsidRPr="00A5159F">
        <w:t xml:space="preserve">variation </w:t>
      </w:r>
      <w:r w:rsidR="0012388D" w:rsidRPr="00A5159F">
        <w:t xml:space="preserve">on </w:t>
      </w:r>
      <w:r w:rsidR="00D05038">
        <w:t>4</w:t>
      </w:r>
      <w:r w:rsidR="0052465A" w:rsidRPr="00A5159F">
        <w:rPr>
          <w:vertAlign w:val="superscript"/>
        </w:rPr>
        <w:t>th</w:t>
      </w:r>
      <w:r w:rsidR="0052465A" w:rsidRPr="00A5159F">
        <w:t xml:space="preserve"> December 2019</w:t>
      </w:r>
      <w:r w:rsidR="00081B0A" w:rsidRPr="00A5159F">
        <w:t xml:space="preserve">. </w:t>
      </w:r>
      <w:r w:rsidR="003A7B84" w:rsidRPr="00A5159F">
        <w:t xml:space="preserve">The </w:t>
      </w:r>
      <w:r w:rsidR="00011187" w:rsidRPr="00A5159F">
        <w:rPr>
          <w:rFonts w:cs="Helvetica"/>
          <w:lang w:val="en-AU"/>
        </w:rPr>
        <w:t xml:space="preserve">Australia and New Zealand Ministerial Forum on Food </w:t>
      </w:r>
      <w:r w:rsidR="00011187" w:rsidRPr="00A5159F">
        <w:rPr>
          <w:rFonts w:cs="Arial"/>
        </w:rPr>
        <w:t>Regulation</w:t>
      </w:r>
      <w:r w:rsidR="003A7B84" w:rsidRPr="00A5159F">
        <w:t xml:space="preserve"> was notified of FSANZ’s decision on </w:t>
      </w:r>
      <w:r w:rsidR="00D05038">
        <w:t>19</w:t>
      </w:r>
      <w:r w:rsidR="00D05038" w:rsidRPr="00D05038">
        <w:rPr>
          <w:vertAlign w:val="superscript"/>
        </w:rPr>
        <w:t>th</w:t>
      </w:r>
      <w:r w:rsidR="00D05038">
        <w:t xml:space="preserve"> December 2019</w:t>
      </w:r>
      <w:r w:rsidR="003A7B84">
        <w:t>.</w:t>
      </w:r>
    </w:p>
    <w:p w14:paraId="07FE212F" w14:textId="77777777" w:rsidR="00CA5734" w:rsidRDefault="00CA5734" w:rsidP="00CA5734"/>
    <w:p w14:paraId="3B4BBA6D" w14:textId="5F6F515C" w:rsidR="00081B0A" w:rsidRDefault="003A7B84" w:rsidP="00292B9B">
      <w:r>
        <w:t>This R</w:t>
      </w:r>
      <w:r w:rsidR="00B425AA">
        <w:t xml:space="preserve">eport is provided </w:t>
      </w:r>
      <w:r w:rsidR="00B425AA" w:rsidRPr="00A5159F">
        <w:t xml:space="preserve">pursuant to </w:t>
      </w:r>
      <w:r w:rsidR="009A2699" w:rsidRPr="00A5159F">
        <w:t>paragraph</w:t>
      </w:r>
      <w:r w:rsidR="00081B0A" w:rsidRPr="00A5159F">
        <w:t xml:space="preserve"> 33(1)(b) of </w:t>
      </w:r>
      <w:r w:rsidR="00081B0A">
        <w:t xml:space="preserve">the </w:t>
      </w:r>
      <w:r w:rsidR="00081B0A" w:rsidRPr="0012388D">
        <w:rPr>
          <w:i/>
        </w:rPr>
        <w:t>Food Standards Australia New Zealand Act 1991</w:t>
      </w:r>
      <w:r w:rsidR="00081B0A">
        <w:t xml:space="preserve"> (the FSANZ Act).</w:t>
      </w:r>
    </w:p>
    <w:p w14:paraId="633BC3D5" w14:textId="77777777" w:rsidR="00F526BD" w:rsidRDefault="00F526BD" w:rsidP="00A671E6"/>
    <w:p w14:paraId="78C43207" w14:textId="042A7BDF" w:rsidR="00BC354D" w:rsidRDefault="00BC354D" w:rsidP="00BC354D"/>
    <w:p w14:paraId="75BF9320" w14:textId="77777777" w:rsidR="00BC354D" w:rsidRDefault="00BC354D" w:rsidP="00A671E6"/>
    <w:p w14:paraId="06D4B33A" w14:textId="77777777" w:rsidR="00EB6590" w:rsidRDefault="00EB6590" w:rsidP="00F526BD"/>
    <w:p w14:paraId="28EC5A50"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C626E5" w:rsidRDefault="00CE59AA" w:rsidP="00CE59AA">
      <w:pPr>
        <w:rPr>
          <w:rFonts w:cs="Arial"/>
          <w:sz w:val="20"/>
          <w:szCs w:val="20"/>
        </w:rPr>
      </w:pPr>
    </w:p>
    <w:p w14:paraId="30EA085D" w14:textId="7A218EDA" w:rsidR="008C4328"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caps w:val="0"/>
          <w:smallCaps/>
        </w:rPr>
        <w:fldChar w:fldCharType="begin"/>
      </w:r>
      <w:r w:rsidRPr="00940182">
        <w:rPr>
          <w:rFonts w:ascii="Arial" w:hAnsi="Arial" w:cs="Arial"/>
        </w:rPr>
        <w:instrText xml:space="preserve"> TOC \h \z \t "Heading 1,1,Heading 2,2,Heading 3,3" </w:instrText>
      </w:r>
      <w:r w:rsidRPr="00346622">
        <w:rPr>
          <w:rFonts w:ascii="Arial" w:hAnsi="Arial" w:cs="Arial"/>
          <w:b w:val="0"/>
          <w:caps w:val="0"/>
          <w:smallCaps/>
        </w:rPr>
        <w:fldChar w:fldCharType="separate"/>
      </w:r>
      <w:hyperlink w:anchor="_Toc22650316" w:history="1">
        <w:r w:rsidR="008C4328" w:rsidRPr="00C1520D">
          <w:rPr>
            <w:rStyle w:val="Hyperlink"/>
            <w:noProof/>
          </w:rPr>
          <w:t>Executive summary</w:t>
        </w:r>
        <w:r w:rsidR="008C4328">
          <w:rPr>
            <w:noProof/>
            <w:webHidden/>
          </w:rPr>
          <w:tab/>
        </w:r>
        <w:r w:rsidR="008C4328">
          <w:rPr>
            <w:noProof/>
            <w:webHidden/>
          </w:rPr>
          <w:fldChar w:fldCharType="begin"/>
        </w:r>
        <w:r w:rsidR="008C4328">
          <w:rPr>
            <w:noProof/>
            <w:webHidden/>
          </w:rPr>
          <w:instrText xml:space="preserve"> PAGEREF _Toc22650316 \h </w:instrText>
        </w:r>
        <w:r w:rsidR="008C4328">
          <w:rPr>
            <w:noProof/>
            <w:webHidden/>
          </w:rPr>
        </w:r>
        <w:r w:rsidR="008C4328">
          <w:rPr>
            <w:noProof/>
            <w:webHidden/>
          </w:rPr>
          <w:fldChar w:fldCharType="separate"/>
        </w:r>
        <w:r w:rsidR="008F04DE">
          <w:rPr>
            <w:noProof/>
            <w:webHidden/>
          </w:rPr>
          <w:t>2</w:t>
        </w:r>
        <w:r w:rsidR="008C4328">
          <w:rPr>
            <w:noProof/>
            <w:webHidden/>
          </w:rPr>
          <w:fldChar w:fldCharType="end"/>
        </w:r>
      </w:hyperlink>
    </w:p>
    <w:p w14:paraId="1D4F92C2" w14:textId="60DDFECD" w:rsidR="008C4328" w:rsidRDefault="004C6E69">
      <w:pPr>
        <w:pStyle w:val="TOC1"/>
        <w:tabs>
          <w:tab w:val="left" w:pos="440"/>
          <w:tab w:val="right" w:leader="dot" w:pos="9060"/>
        </w:tabs>
        <w:rPr>
          <w:rFonts w:eastAsiaTheme="minorEastAsia" w:cstheme="minorBidi"/>
          <w:b w:val="0"/>
          <w:bCs w:val="0"/>
          <w:caps w:val="0"/>
          <w:noProof/>
          <w:sz w:val="22"/>
          <w:szCs w:val="22"/>
          <w:lang w:eastAsia="en-GB" w:bidi="ar-SA"/>
        </w:rPr>
      </w:pPr>
      <w:hyperlink w:anchor="_Toc22650317" w:history="1">
        <w:r w:rsidR="008C4328" w:rsidRPr="00C1520D">
          <w:rPr>
            <w:rStyle w:val="Hyperlink"/>
            <w:noProof/>
          </w:rPr>
          <w:t>1</w:t>
        </w:r>
        <w:r w:rsidR="008C4328">
          <w:rPr>
            <w:rFonts w:eastAsiaTheme="minorEastAsia" w:cstheme="minorBidi"/>
            <w:b w:val="0"/>
            <w:bCs w:val="0"/>
            <w:caps w:val="0"/>
            <w:noProof/>
            <w:sz w:val="22"/>
            <w:szCs w:val="22"/>
            <w:lang w:eastAsia="en-GB" w:bidi="ar-SA"/>
          </w:rPr>
          <w:tab/>
        </w:r>
        <w:r w:rsidR="008C4328" w:rsidRPr="00C1520D">
          <w:rPr>
            <w:rStyle w:val="Hyperlink"/>
            <w:noProof/>
          </w:rPr>
          <w:t>Introduction</w:t>
        </w:r>
        <w:r w:rsidR="008C4328">
          <w:rPr>
            <w:noProof/>
            <w:webHidden/>
          </w:rPr>
          <w:tab/>
        </w:r>
        <w:r w:rsidR="008C4328">
          <w:rPr>
            <w:noProof/>
            <w:webHidden/>
          </w:rPr>
          <w:fldChar w:fldCharType="begin"/>
        </w:r>
        <w:r w:rsidR="008C4328">
          <w:rPr>
            <w:noProof/>
            <w:webHidden/>
          </w:rPr>
          <w:instrText xml:space="preserve"> PAGEREF _Toc22650317 \h </w:instrText>
        </w:r>
        <w:r w:rsidR="008C4328">
          <w:rPr>
            <w:noProof/>
            <w:webHidden/>
          </w:rPr>
        </w:r>
        <w:r w:rsidR="008C4328">
          <w:rPr>
            <w:noProof/>
            <w:webHidden/>
          </w:rPr>
          <w:fldChar w:fldCharType="separate"/>
        </w:r>
        <w:r w:rsidR="008F04DE">
          <w:rPr>
            <w:noProof/>
            <w:webHidden/>
          </w:rPr>
          <w:t>3</w:t>
        </w:r>
        <w:r w:rsidR="008C4328">
          <w:rPr>
            <w:noProof/>
            <w:webHidden/>
          </w:rPr>
          <w:fldChar w:fldCharType="end"/>
        </w:r>
      </w:hyperlink>
    </w:p>
    <w:p w14:paraId="10BDCE15" w14:textId="6637890F" w:rsidR="008C4328" w:rsidRDefault="004C6E69">
      <w:pPr>
        <w:pStyle w:val="TOC2"/>
        <w:tabs>
          <w:tab w:val="left" w:pos="880"/>
          <w:tab w:val="right" w:leader="dot" w:pos="9060"/>
        </w:tabs>
        <w:rPr>
          <w:rFonts w:eastAsiaTheme="minorEastAsia" w:cstheme="minorBidi"/>
          <w:smallCaps w:val="0"/>
          <w:noProof/>
          <w:sz w:val="22"/>
          <w:szCs w:val="22"/>
          <w:lang w:eastAsia="en-GB" w:bidi="ar-SA"/>
        </w:rPr>
      </w:pPr>
      <w:hyperlink w:anchor="_Toc22650318" w:history="1">
        <w:r w:rsidR="008C4328" w:rsidRPr="00C1520D">
          <w:rPr>
            <w:rStyle w:val="Hyperlink"/>
            <w:noProof/>
          </w:rPr>
          <w:t>1.1</w:t>
        </w:r>
        <w:r w:rsidR="008C4328">
          <w:rPr>
            <w:rFonts w:eastAsiaTheme="minorEastAsia" w:cstheme="minorBidi"/>
            <w:smallCaps w:val="0"/>
            <w:noProof/>
            <w:sz w:val="22"/>
            <w:szCs w:val="22"/>
            <w:lang w:eastAsia="en-GB" w:bidi="ar-SA"/>
          </w:rPr>
          <w:tab/>
        </w:r>
        <w:r w:rsidR="008C4328" w:rsidRPr="00C1520D">
          <w:rPr>
            <w:rStyle w:val="Hyperlink"/>
            <w:noProof/>
          </w:rPr>
          <w:t>The Applicant</w:t>
        </w:r>
        <w:r w:rsidR="008C4328">
          <w:rPr>
            <w:noProof/>
            <w:webHidden/>
          </w:rPr>
          <w:tab/>
        </w:r>
        <w:r w:rsidR="008C4328">
          <w:rPr>
            <w:noProof/>
            <w:webHidden/>
          </w:rPr>
          <w:fldChar w:fldCharType="begin"/>
        </w:r>
        <w:r w:rsidR="008C4328">
          <w:rPr>
            <w:noProof/>
            <w:webHidden/>
          </w:rPr>
          <w:instrText xml:space="preserve"> PAGEREF _Toc22650318 \h </w:instrText>
        </w:r>
        <w:r w:rsidR="008C4328">
          <w:rPr>
            <w:noProof/>
            <w:webHidden/>
          </w:rPr>
        </w:r>
        <w:r w:rsidR="008C4328">
          <w:rPr>
            <w:noProof/>
            <w:webHidden/>
          </w:rPr>
          <w:fldChar w:fldCharType="separate"/>
        </w:r>
        <w:r w:rsidR="008F04DE">
          <w:rPr>
            <w:noProof/>
            <w:webHidden/>
          </w:rPr>
          <w:t>3</w:t>
        </w:r>
        <w:r w:rsidR="008C4328">
          <w:rPr>
            <w:noProof/>
            <w:webHidden/>
          </w:rPr>
          <w:fldChar w:fldCharType="end"/>
        </w:r>
      </w:hyperlink>
    </w:p>
    <w:p w14:paraId="5C97B88B" w14:textId="2B565184" w:rsidR="008C4328" w:rsidRDefault="004C6E69">
      <w:pPr>
        <w:pStyle w:val="TOC2"/>
        <w:tabs>
          <w:tab w:val="left" w:pos="880"/>
          <w:tab w:val="right" w:leader="dot" w:pos="9060"/>
        </w:tabs>
        <w:rPr>
          <w:rFonts w:eastAsiaTheme="minorEastAsia" w:cstheme="minorBidi"/>
          <w:smallCaps w:val="0"/>
          <w:noProof/>
          <w:sz w:val="22"/>
          <w:szCs w:val="22"/>
          <w:lang w:eastAsia="en-GB" w:bidi="ar-SA"/>
        </w:rPr>
      </w:pPr>
      <w:hyperlink w:anchor="_Toc22650319" w:history="1">
        <w:r w:rsidR="008C4328" w:rsidRPr="00C1520D">
          <w:rPr>
            <w:rStyle w:val="Hyperlink"/>
            <w:noProof/>
          </w:rPr>
          <w:t>1.2</w:t>
        </w:r>
        <w:r w:rsidR="008C4328">
          <w:rPr>
            <w:rFonts w:eastAsiaTheme="minorEastAsia" w:cstheme="minorBidi"/>
            <w:smallCaps w:val="0"/>
            <w:noProof/>
            <w:sz w:val="22"/>
            <w:szCs w:val="22"/>
            <w:lang w:eastAsia="en-GB" w:bidi="ar-SA"/>
          </w:rPr>
          <w:tab/>
        </w:r>
        <w:r w:rsidR="008C4328" w:rsidRPr="00C1520D">
          <w:rPr>
            <w:rStyle w:val="Hyperlink"/>
            <w:noProof/>
          </w:rPr>
          <w:t>The Application</w:t>
        </w:r>
        <w:r w:rsidR="008C4328">
          <w:rPr>
            <w:noProof/>
            <w:webHidden/>
          </w:rPr>
          <w:tab/>
        </w:r>
        <w:r w:rsidR="008C4328">
          <w:rPr>
            <w:noProof/>
            <w:webHidden/>
          </w:rPr>
          <w:fldChar w:fldCharType="begin"/>
        </w:r>
        <w:r w:rsidR="008C4328">
          <w:rPr>
            <w:noProof/>
            <w:webHidden/>
          </w:rPr>
          <w:instrText xml:space="preserve"> PAGEREF _Toc22650319 \h </w:instrText>
        </w:r>
        <w:r w:rsidR="008C4328">
          <w:rPr>
            <w:noProof/>
            <w:webHidden/>
          </w:rPr>
        </w:r>
        <w:r w:rsidR="008C4328">
          <w:rPr>
            <w:noProof/>
            <w:webHidden/>
          </w:rPr>
          <w:fldChar w:fldCharType="separate"/>
        </w:r>
        <w:r w:rsidR="008F04DE">
          <w:rPr>
            <w:noProof/>
            <w:webHidden/>
          </w:rPr>
          <w:t>3</w:t>
        </w:r>
        <w:r w:rsidR="008C4328">
          <w:rPr>
            <w:noProof/>
            <w:webHidden/>
          </w:rPr>
          <w:fldChar w:fldCharType="end"/>
        </w:r>
      </w:hyperlink>
    </w:p>
    <w:p w14:paraId="438FA02F" w14:textId="7968027D" w:rsidR="008C4328" w:rsidRDefault="004C6E69">
      <w:pPr>
        <w:pStyle w:val="TOC2"/>
        <w:tabs>
          <w:tab w:val="left" w:pos="880"/>
          <w:tab w:val="right" w:leader="dot" w:pos="9060"/>
        </w:tabs>
        <w:rPr>
          <w:rFonts w:eastAsiaTheme="minorEastAsia" w:cstheme="minorBidi"/>
          <w:smallCaps w:val="0"/>
          <w:noProof/>
          <w:sz w:val="22"/>
          <w:szCs w:val="22"/>
          <w:lang w:eastAsia="en-GB" w:bidi="ar-SA"/>
        </w:rPr>
      </w:pPr>
      <w:hyperlink w:anchor="_Toc22650320" w:history="1">
        <w:r w:rsidR="008C4328" w:rsidRPr="00C1520D">
          <w:rPr>
            <w:rStyle w:val="Hyperlink"/>
            <w:noProof/>
          </w:rPr>
          <w:t>1.3</w:t>
        </w:r>
        <w:r w:rsidR="008C4328">
          <w:rPr>
            <w:rFonts w:eastAsiaTheme="minorEastAsia" w:cstheme="minorBidi"/>
            <w:smallCaps w:val="0"/>
            <w:noProof/>
            <w:sz w:val="22"/>
            <w:szCs w:val="22"/>
            <w:lang w:eastAsia="en-GB" w:bidi="ar-SA"/>
          </w:rPr>
          <w:tab/>
        </w:r>
        <w:r w:rsidR="008C4328" w:rsidRPr="00C1520D">
          <w:rPr>
            <w:rStyle w:val="Hyperlink"/>
            <w:noProof/>
          </w:rPr>
          <w:t>The current Standards</w:t>
        </w:r>
        <w:r w:rsidR="008C4328">
          <w:rPr>
            <w:noProof/>
            <w:webHidden/>
          </w:rPr>
          <w:tab/>
        </w:r>
        <w:r w:rsidR="008C4328">
          <w:rPr>
            <w:noProof/>
            <w:webHidden/>
          </w:rPr>
          <w:fldChar w:fldCharType="begin"/>
        </w:r>
        <w:r w:rsidR="008C4328">
          <w:rPr>
            <w:noProof/>
            <w:webHidden/>
          </w:rPr>
          <w:instrText xml:space="preserve"> PAGEREF _Toc22650320 \h </w:instrText>
        </w:r>
        <w:r w:rsidR="008C4328">
          <w:rPr>
            <w:noProof/>
            <w:webHidden/>
          </w:rPr>
        </w:r>
        <w:r w:rsidR="008C4328">
          <w:rPr>
            <w:noProof/>
            <w:webHidden/>
          </w:rPr>
          <w:fldChar w:fldCharType="separate"/>
        </w:r>
        <w:r w:rsidR="008F04DE">
          <w:rPr>
            <w:noProof/>
            <w:webHidden/>
          </w:rPr>
          <w:t>4</w:t>
        </w:r>
        <w:r w:rsidR="008C4328">
          <w:rPr>
            <w:noProof/>
            <w:webHidden/>
          </w:rPr>
          <w:fldChar w:fldCharType="end"/>
        </w:r>
      </w:hyperlink>
    </w:p>
    <w:p w14:paraId="7801164B" w14:textId="461513D5"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21" w:history="1">
        <w:r w:rsidR="008C4328" w:rsidRPr="00C1520D">
          <w:rPr>
            <w:rStyle w:val="Hyperlink"/>
            <w:noProof/>
          </w:rPr>
          <w:t>1.3.1</w:t>
        </w:r>
        <w:r w:rsidR="008C4328">
          <w:rPr>
            <w:rFonts w:eastAsiaTheme="minorEastAsia" w:cstheme="minorBidi"/>
            <w:i w:val="0"/>
            <w:iCs w:val="0"/>
            <w:noProof/>
            <w:sz w:val="22"/>
            <w:szCs w:val="22"/>
            <w:lang w:eastAsia="en-GB" w:bidi="ar-SA"/>
          </w:rPr>
          <w:tab/>
        </w:r>
        <w:r w:rsidR="008C4328" w:rsidRPr="00C1520D">
          <w:rPr>
            <w:rStyle w:val="Hyperlink"/>
            <w:noProof/>
          </w:rPr>
          <w:t>Australia and New Zealand Food Standards Code (the Code)</w:t>
        </w:r>
        <w:r w:rsidR="008C4328">
          <w:rPr>
            <w:noProof/>
            <w:webHidden/>
          </w:rPr>
          <w:tab/>
        </w:r>
        <w:r w:rsidR="008C4328">
          <w:rPr>
            <w:noProof/>
            <w:webHidden/>
          </w:rPr>
          <w:fldChar w:fldCharType="begin"/>
        </w:r>
        <w:r w:rsidR="008C4328">
          <w:rPr>
            <w:noProof/>
            <w:webHidden/>
          </w:rPr>
          <w:instrText xml:space="preserve"> PAGEREF _Toc22650321 \h </w:instrText>
        </w:r>
        <w:r w:rsidR="008C4328">
          <w:rPr>
            <w:noProof/>
            <w:webHidden/>
          </w:rPr>
        </w:r>
        <w:r w:rsidR="008C4328">
          <w:rPr>
            <w:noProof/>
            <w:webHidden/>
          </w:rPr>
          <w:fldChar w:fldCharType="separate"/>
        </w:r>
        <w:r w:rsidR="008F04DE">
          <w:rPr>
            <w:noProof/>
            <w:webHidden/>
          </w:rPr>
          <w:t>4</w:t>
        </w:r>
        <w:r w:rsidR="008C4328">
          <w:rPr>
            <w:noProof/>
            <w:webHidden/>
          </w:rPr>
          <w:fldChar w:fldCharType="end"/>
        </w:r>
      </w:hyperlink>
    </w:p>
    <w:p w14:paraId="5CC138AD" w14:textId="637A02E2"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22" w:history="1">
        <w:r w:rsidR="008C4328" w:rsidRPr="00C1520D">
          <w:rPr>
            <w:rStyle w:val="Hyperlink"/>
            <w:noProof/>
          </w:rPr>
          <w:t>1.3.2</w:t>
        </w:r>
        <w:r w:rsidR="008C4328">
          <w:rPr>
            <w:rFonts w:eastAsiaTheme="minorEastAsia" w:cstheme="minorBidi"/>
            <w:i w:val="0"/>
            <w:iCs w:val="0"/>
            <w:noProof/>
            <w:sz w:val="22"/>
            <w:szCs w:val="22"/>
            <w:lang w:eastAsia="en-GB" w:bidi="ar-SA"/>
          </w:rPr>
          <w:tab/>
        </w:r>
        <w:r w:rsidR="008C4328" w:rsidRPr="00C1520D">
          <w:rPr>
            <w:rStyle w:val="Hyperlink"/>
            <w:noProof/>
          </w:rPr>
          <w:t>International regulations</w:t>
        </w:r>
        <w:r w:rsidR="008C4328">
          <w:rPr>
            <w:noProof/>
            <w:webHidden/>
          </w:rPr>
          <w:tab/>
        </w:r>
        <w:r w:rsidR="008C4328">
          <w:rPr>
            <w:noProof/>
            <w:webHidden/>
          </w:rPr>
          <w:fldChar w:fldCharType="begin"/>
        </w:r>
        <w:r w:rsidR="008C4328">
          <w:rPr>
            <w:noProof/>
            <w:webHidden/>
          </w:rPr>
          <w:instrText xml:space="preserve"> PAGEREF _Toc22650322 \h </w:instrText>
        </w:r>
        <w:r w:rsidR="008C4328">
          <w:rPr>
            <w:noProof/>
            <w:webHidden/>
          </w:rPr>
        </w:r>
        <w:r w:rsidR="008C4328">
          <w:rPr>
            <w:noProof/>
            <w:webHidden/>
          </w:rPr>
          <w:fldChar w:fldCharType="separate"/>
        </w:r>
        <w:r w:rsidR="008F04DE">
          <w:rPr>
            <w:noProof/>
            <w:webHidden/>
          </w:rPr>
          <w:t>5</w:t>
        </w:r>
        <w:r w:rsidR="008C4328">
          <w:rPr>
            <w:noProof/>
            <w:webHidden/>
          </w:rPr>
          <w:fldChar w:fldCharType="end"/>
        </w:r>
      </w:hyperlink>
    </w:p>
    <w:p w14:paraId="7BA82161" w14:textId="1903006C" w:rsidR="008C4328" w:rsidRDefault="004C6E69">
      <w:pPr>
        <w:pStyle w:val="TOC2"/>
        <w:tabs>
          <w:tab w:val="left" w:pos="880"/>
          <w:tab w:val="right" w:leader="dot" w:pos="9060"/>
        </w:tabs>
        <w:rPr>
          <w:rFonts w:eastAsiaTheme="minorEastAsia" w:cstheme="minorBidi"/>
          <w:smallCaps w:val="0"/>
          <w:noProof/>
          <w:sz w:val="22"/>
          <w:szCs w:val="22"/>
          <w:lang w:eastAsia="en-GB" w:bidi="ar-SA"/>
        </w:rPr>
      </w:pPr>
      <w:hyperlink w:anchor="_Toc22650323" w:history="1">
        <w:r w:rsidR="008C4328" w:rsidRPr="00C1520D">
          <w:rPr>
            <w:rStyle w:val="Hyperlink"/>
            <w:noProof/>
            <w:u w:color="FFFF00"/>
          </w:rPr>
          <w:t>1.4</w:t>
        </w:r>
        <w:r w:rsidR="008C4328">
          <w:rPr>
            <w:rFonts w:eastAsiaTheme="minorEastAsia" w:cstheme="minorBidi"/>
            <w:smallCaps w:val="0"/>
            <w:noProof/>
            <w:sz w:val="22"/>
            <w:szCs w:val="22"/>
            <w:lang w:eastAsia="en-GB" w:bidi="ar-SA"/>
          </w:rPr>
          <w:tab/>
        </w:r>
        <w:r w:rsidR="008C4328" w:rsidRPr="00C1520D">
          <w:rPr>
            <w:rStyle w:val="Hyperlink"/>
            <w:noProof/>
            <w:u w:color="FFFF00"/>
          </w:rPr>
          <w:t>Reasons for accepting Application</w:t>
        </w:r>
        <w:r w:rsidR="008C4328">
          <w:rPr>
            <w:noProof/>
            <w:webHidden/>
          </w:rPr>
          <w:tab/>
        </w:r>
        <w:r w:rsidR="008C4328">
          <w:rPr>
            <w:noProof/>
            <w:webHidden/>
          </w:rPr>
          <w:fldChar w:fldCharType="begin"/>
        </w:r>
        <w:r w:rsidR="008C4328">
          <w:rPr>
            <w:noProof/>
            <w:webHidden/>
          </w:rPr>
          <w:instrText xml:space="preserve"> PAGEREF _Toc22650323 \h </w:instrText>
        </w:r>
        <w:r w:rsidR="008C4328">
          <w:rPr>
            <w:noProof/>
            <w:webHidden/>
          </w:rPr>
        </w:r>
        <w:r w:rsidR="008C4328">
          <w:rPr>
            <w:noProof/>
            <w:webHidden/>
          </w:rPr>
          <w:fldChar w:fldCharType="separate"/>
        </w:r>
        <w:r w:rsidR="008F04DE">
          <w:rPr>
            <w:noProof/>
            <w:webHidden/>
          </w:rPr>
          <w:t>2</w:t>
        </w:r>
        <w:r w:rsidR="008C4328">
          <w:rPr>
            <w:noProof/>
            <w:webHidden/>
          </w:rPr>
          <w:fldChar w:fldCharType="end"/>
        </w:r>
      </w:hyperlink>
    </w:p>
    <w:p w14:paraId="7C1592F3" w14:textId="17EF18E8" w:rsidR="008C4328" w:rsidRDefault="004C6E69">
      <w:pPr>
        <w:pStyle w:val="TOC2"/>
        <w:tabs>
          <w:tab w:val="left" w:pos="880"/>
          <w:tab w:val="right" w:leader="dot" w:pos="9060"/>
        </w:tabs>
        <w:rPr>
          <w:rFonts w:eastAsiaTheme="minorEastAsia" w:cstheme="minorBidi"/>
          <w:smallCaps w:val="0"/>
          <w:noProof/>
          <w:sz w:val="22"/>
          <w:szCs w:val="22"/>
          <w:lang w:eastAsia="en-GB" w:bidi="ar-SA"/>
        </w:rPr>
      </w:pPr>
      <w:hyperlink w:anchor="_Toc22650324" w:history="1">
        <w:r w:rsidR="008C4328" w:rsidRPr="00C1520D">
          <w:rPr>
            <w:rStyle w:val="Hyperlink"/>
            <w:noProof/>
          </w:rPr>
          <w:t>1.5</w:t>
        </w:r>
        <w:r w:rsidR="008C4328">
          <w:rPr>
            <w:rFonts w:eastAsiaTheme="minorEastAsia" w:cstheme="minorBidi"/>
            <w:smallCaps w:val="0"/>
            <w:noProof/>
            <w:sz w:val="22"/>
            <w:szCs w:val="22"/>
            <w:lang w:eastAsia="en-GB" w:bidi="ar-SA"/>
          </w:rPr>
          <w:tab/>
        </w:r>
        <w:r w:rsidR="008C4328" w:rsidRPr="00C1520D">
          <w:rPr>
            <w:rStyle w:val="Hyperlink"/>
            <w:noProof/>
          </w:rPr>
          <w:t>Procedure for assessment</w:t>
        </w:r>
        <w:r w:rsidR="008C4328">
          <w:rPr>
            <w:noProof/>
            <w:webHidden/>
          </w:rPr>
          <w:tab/>
        </w:r>
        <w:r w:rsidR="008C4328">
          <w:rPr>
            <w:noProof/>
            <w:webHidden/>
          </w:rPr>
          <w:fldChar w:fldCharType="begin"/>
        </w:r>
        <w:r w:rsidR="008C4328">
          <w:rPr>
            <w:noProof/>
            <w:webHidden/>
          </w:rPr>
          <w:instrText xml:space="preserve"> PAGEREF _Toc22650324 \h </w:instrText>
        </w:r>
        <w:r w:rsidR="008C4328">
          <w:rPr>
            <w:noProof/>
            <w:webHidden/>
          </w:rPr>
        </w:r>
        <w:r w:rsidR="008C4328">
          <w:rPr>
            <w:noProof/>
            <w:webHidden/>
          </w:rPr>
          <w:fldChar w:fldCharType="separate"/>
        </w:r>
        <w:r w:rsidR="008F04DE">
          <w:rPr>
            <w:noProof/>
            <w:webHidden/>
          </w:rPr>
          <w:t>2</w:t>
        </w:r>
        <w:r w:rsidR="008C4328">
          <w:rPr>
            <w:noProof/>
            <w:webHidden/>
          </w:rPr>
          <w:fldChar w:fldCharType="end"/>
        </w:r>
      </w:hyperlink>
    </w:p>
    <w:p w14:paraId="62B37946" w14:textId="3DEB9E01" w:rsidR="008C4328" w:rsidRDefault="004C6E69">
      <w:pPr>
        <w:pStyle w:val="TOC2"/>
        <w:tabs>
          <w:tab w:val="left" w:pos="880"/>
          <w:tab w:val="right" w:leader="dot" w:pos="9060"/>
        </w:tabs>
        <w:rPr>
          <w:rFonts w:eastAsiaTheme="minorEastAsia" w:cstheme="minorBidi"/>
          <w:smallCaps w:val="0"/>
          <w:noProof/>
          <w:sz w:val="22"/>
          <w:szCs w:val="22"/>
          <w:lang w:eastAsia="en-GB" w:bidi="ar-SA"/>
        </w:rPr>
      </w:pPr>
      <w:hyperlink w:anchor="_Toc22650325" w:history="1">
        <w:r w:rsidR="008C4328" w:rsidRPr="00C1520D">
          <w:rPr>
            <w:rStyle w:val="Hyperlink"/>
            <w:noProof/>
          </w:rPr>
          <w:t>1.6</w:t>
        </w:r>
        <w:r w:rsidR="008C4328">
          <w:rPr>
            <w:rFonts w:eastAsiaTheme="minorEastAsia" w:cstheme="minorBidi"/>
            <w:smallCaps w:val="0"/>
            <w:noProof/>
            <w:sz w:val="22"/>
            <w:szCs w:val="22"/>
            <w:lang w:eastAsia="en-GB" w:bidi="ar-SA"/>
          </w:rPr>
          <w:tab/>
        </w:r>
        <w:r w:rsidR="008C4328" w:rsidRPr="00C1520D">
          <w:rPr>
            <w:rStyle w:val="Hyperlink"/>
            <w:noProof/>
          </w:rPr>
          <w:t>Decision</w:t>
        </w:r>
        <w:r w:rsidR="008C4328">
          <w:rPr>
            <w:noProof/>
            <w:webHidden/>
          </w:rPr>
          <w:tab/>
        </w:r>
        <w:r w:rsidR="008C4328">
          <w:rPr>
            <w:noProof/>
            <w:webHidden/>
          </w:rPr>
          <w:fldChar w:fldCharType="begin"/>
        </w:r>
        <w:r w:rsidR="008C4328">
          <w:rPr>
            <w:noProof/>
            <w:webHidden/>
          </w:rPr>
          <w:instrText xml:space="preserve"> PAGEREF _Toc22650325 \h </w:instrText>
        </w:r>
        <w:r w:rsidR="008C4328">
          <w:rPr>
            <w:noProof/>
            <w:webHidden/>
          </w:rPr>
        </w:r>
        <w:r w:rsidR="008C4328">
          <w:rPr>
            <w:noProof/>
            <w:webHidden/>
          </w:rPr>
          <w:fldChar w:fldCharType="separate"/>
        </w:r>
        <w:r w:rsidR="008F04DE">
          <w:rPr>
            <w:noProof/>
            <w:webHidden/>
          </w:rPr>
          <w:t>2</w:t>
        </w:r>
        <w:r w:rsidR="008C4328">
          <w:rPr>
            <w:noProof/>
            <w:webHidden/>
          </w:rPr>
          <w:fldChar w:fldCharType="end"/>
        </w:r>
      </w:hyperlink>
    </w:p>
    <w:p w14:paraId="1A405C28" w14:textId="4E9E1FA4" w:rsidR="008C4328" w:rsidRDefault="004C6E69">
      <w:pPr>
        <w:pStyle w:val="TOC1"/>
        <w:tabs>
          <w:tab w:val="left" w:pos="440"/>
          <w:tab w:val="right" w:leader="dot" w:pos="9060"/>
        </w:tabs>
        <w:rPr>
          <w:rFonts w:eastAsiaTheme="minorEastAsia" w:cstheme="minorBidi"/>
          <w:b w:val="0"/>
          <w:bCs w:val="0"/>
          <w:caps w:val="0"/>
          <w:noProof/>
          <w:sz w:val="22"/>
          <w:szCs w:val="22"/>
          <w:lang w:eastAsia="en-GB" w:bidi="ar-SA"/>
        </w:rPr>
      </w:pPr>
      <w:hyperlink w:anchor="_Toc22650326" w:history="1">
        <w:r w:rsidR="008C4328" w:rsidRPr="00C1520D">
          <w:rPr>
            <w:rStyle w:val="Hyperlink"/>
            <w:noProof/>
          </w:rPr>
          <w:t>2</w:t>
        </w:r>
        <w:r w:rsidR="008C4328">
          <w:rPr>
            <w:rFonts w:eastAsiaTheme="minorEastAsia" w:cstheme="minorBidi"/>
            <w:b w:val="0"/>
            <w:bCs w:val="0"/>
            <w:caps w:val="0"/>
            <w:noProof/>
            <w:sz w:val="22"/>
            <w:szCs w:val="22"/>
            <w:lang w:eastAsia="en-GB" w:bidi="ar-SA"/>
          </w:rPr>
          <w:tab/>
        </w:r>
        <w:r w:rsidR="008C4328" w:rsidRPr="00C1520D">
          <w:rPr>
            <w:rStyle w:val="Hyperlink"/>
            <w:noProof/>
          </w:rPr>
          <w:t xml:space="preserve">Summary </w:t>
        </w:r>
        <w:r w:rsidR="008C4328" w:rsidRPr="00C1520D">
          <w:rPr>
            <w:rStyle w:val="Hyperlink"/>
            <w:noProof/>
            <w:u w:color="FFFF00"/>
          </w:rPr>
          <w:t>of</w:t>
        </w:r>
        <w:r w:rsidR="008C4328" w:rsidRPr="00C1520D">
          <w:rPr>
            <w:rStyle w:val="Hyperlink"/>
            <w:noProof/>
          </w:rPr>
          <w:t xml:space="preserve"> the findings</w:t>
        </w:r>
        <w:r w:rsidR="008C4328">
          <w:rPr>
            <w:noProof/>
            <w:webHidden/>
          </w:rPr>
          <w:tab/>
        </w:r>
        <w:r w:rsidR="008C4328">
          <w:rPr>
            <w:noProof/>
            <w:webHidden/>
          </w:rPr>
          <w:fldChar w:fldCharType="begin"/>
        </w:r>
        <w:r w:rsidR="008C4328">
          <w:rPr>
            <w:noProof/>
            <w:webHidden/>
          </w:rPr>
          <w:instrText xml:space="preserve"> PAGEREF _Toc22650326 \h </w:instrText>
        </w:r>
        <w:r w:rsidR="008C4328">
          <w:rPr>
            <w:noProof/>
            <w:webHidden/>
          </w:rPr>
        </w:r>
        <w:r w:rsidR="008C4328">
          <w:rPr>
            <w:noProof/>
            <w:webHidden/>
          </w:rPr>
          <w:fldChar w:fldCharType="separate"/>
        </w:r>
        <w:r w:rsidR="008F04DE">
          <w:rPr>
            <w:noProof/>
            <w:webHidden/>
          </w:rPr>
          <w:t>3</w:t>
        </w:r>
        <w:r w:rsidR="008C4328">
          <w:rPr>
            <w:noProof/>
            <w:webHidden/>
          </w:rPr>
          <w:fldChar w:fldCharType="end"/>
        </w:r>
      </w:hyperlink>
    </w:p>
    <w:p w14:paraId="321C2953" w14:textId="20C9C991" w:rsidR="008C4328" w:rsidRDefault="004C6E69">
      <w:pPr>
        <w:pStyle w:val="TOC2"/>
        <w:tabs>
          <w:tab w:val="left" w:pos="880"/>
          <w:tab w:val="right" w:leader="dot" w:pos="9060"/>
        </w:tabs>
        <w:rPr>
          <w:rFonts w:eastAsiaTheme="minorEastAsia" w:cstheme="minorBidi"/>
          <w:smallCaps w:val="0"/>
          <w:noProof/>
          <w:sz w:val="22"/>
          <w:szCs w:val="22"/>
          <w:lang w:eastAsia="en-GB" w:bidi="ar-SA"/>
        </w:rPr>
      </w:pPr>
      <w:hyperlink w:anchor="_Toc22650327" w:history="1">
        <w:r w:rsidR="008C4328" w:rsidRPr="00C1520D">
          <w:rPr>
            <w:rStyle w:val="Hyperlink"/>
            <w:noProof/>
          </w:rPr>
          <w:t>2.1</w:t>
        </w:r>
        <w:r w:rsidR="008C4328">
          <w:rPr>
            <w:rFonts w:eastAsiaTheme="minorEastAsia" w:cstheme="minorBidi"/>
            <w:smallCaps w:val="0"/>
            <w:noProof/>
            <w:sz w:val="22"/>
            <w:szCs w:val="22"/>
            <w:lang w:eastAsia="en-GB" w:bidi="ar-SA"/>
          </w:rPr>
          <w:tab/>
        </w:r>
        <w:r w:rsidR="008C4328" w:rsidRPr="00C1520D">
          <w:rPr>
            <w:rStyle w:val="Hyperlink"/>
            <w:noProof/>
          </w:rPr>
          <w:t>Summary of issues raised in submissions</w:t>
        </w:r>
        <w:r w:rsidR="008C4328">
          <w:rPr>
            <w:noProof/>
            <w:webHidden/>
          </w:rPr>
          <w:tab/>
        </w:r>
        <w:r w:rsidR="008C4328">
          <w:rPr>
            <w:noProof/>
            <w:webHidden/>
          </w:rPr>
          <w:fldChar w:fldCharType="begin"/>
        </w:r>
        <w:r w:rsidR="008C4328">
          <w:rPr>
            <w:noProof/>
            <w:webHidden/>
          </w:rPr>
          <w:instrText xml:space="preserve"> PAGEREF _Toc22650327 \h </w:instrText>
        </w:r>
        <w:r w:rsidR="008C4328">
          <w:rPr>
            <w:noProof/>
            <w:webHidden/>
          </w:rPr>
        </w:r>
        <w:r w:rsidR="008C4328">
          <w:rPr>
            <w:noProof/>
            <w:webHidden/>
          </w:rPr>
          <w:fldChar w:fldCharType="separate"/>
        </w:r>
        <w:r w:rsidR="008F04DE">
          <w:rPr>
            <w:noProof/>
            <w:webHidden/>
          </w:rPr>
          <w:t>3</w:t>
        </w:r>
        <w:r w:rsidR="008C4328">
          <w:rPr>
            <w:noProof/>
            <w:webHidden/>
          </w:rPr>
          <w:fldChar w:fldCharType="end"/>
        </w:r>
      </w:hyperlink>
    </w:p>
    <w:p w14:paraId="7D6A10DE" w14:textId="45292965" w:rsidR="008C4328" w:rsidRDefault="004C6E69">
      <w:pPr>
        <w:pStyle w:val="TOC2"/>
        <w:tabs>
          <w:tab w:val="left" w:pos="880"/>
          <w:tab w:val="right" w:leader="dot" w:pos="9060"/>
        </w:tabs>
        <w:rPr>
          <w:rFonts w:eastAsiaTheme="minorEastAsia" w:cstheme="minorBidi"/>
          <w:smallCaps w:val="0"/>
          <w:noProof/>
          <w:sz w:val="22"/>
          <w:szCs w:val="22"/>
          <w:lang w:eastAsia="en-GB" w:bidi="ar-SA"/>
        </w:rPr>
      </w:pPr>
      <w:hyperlink w:anchor="_Toc22650328" w:history="1">
        <w:r w:rsidR="008C4328" w:rsidRPr="00C1520D">
          <w:rPr>
            <w:rStyle w:val="Hyperlink"/>
            <w:noProof/>
          </w:rPr>
          <w:t>2.2</w:t>
        </w:r>
        <w:r w:rsidR="008C4328">
          <w:rPr>
            <w:rFonts w:eastAsiaTheme="minorEastAsia" w:cstheme="minorBidi"/>
            <w:smallCaps w:val="0"/>
            <w:noProof/>
            <w:sz w:val="22"/>
            <w:szCs w:val="22"/>
            <w:lang w:eastAsia="en-GB" w:bidi="ar-SA"/>
          </w:rPr>
          <w:tab/>
        </w:r>
        <w:r w:rsidR="008C4328" w:rsidRPr="00C1520D">
          <w:rPr>
            <w:rStyle w:val="Hyperlink"/>
            <w:noProof/>
          </w:rPr>
          <w:t>Risk assessment</w:t>
        </w:r>
        <w:r w:rsidR="008C4328">
          <w:rPr>
            <w:noProof/>
            <w:webHidden/>
          </w:rPr>
          <w:tab/>
        </w:r>
        <w:r w:rsidR="008C4328">
          <w:rPr>
            <w:noProof/>
            <w:webHidden/>
          </w:rPr>
          <w:fldChar w:fldCharType="begin"/>
        </w:r>
        <w:r w:rsidR="008C4328">
          <w:rPr>
            <w:noProof/>
            <w:webHidden/>
          </w:rPr>
          <w:instrText xml:space="preserve"> PAGEREF _Toc22650328 \h </w:instrText>
        </w:r>
        <w:r w:rsidR="008C4328">
          <w:rPr>
            <w:noProof/>
            <w:webHidden/>
          </w:rPr>
        </w:r>
        <w:r w:rsidR="008C4328">
          <w:rPr>
            <w:noProof/>
            <w:webHidden/>
          </w:rPr>
          <w:fldChar w:fldCharType="separate"/>
        </w:r>
        <w:r w:rsidR="008F04DE">
          <w:rPr>
            <w:noProof/>
            <w:webHidden/>
          </w:rPr>
          <w:t>20</w:t>
        </w:r>
        <w:r w:rsidR="008C4328">
          <w:rPr>
            <w:noProof/>
            <w:webHidden/>
          </w:rPr>
          <w:fldChar w:fldCharType="end"/>
        </w:r>
      </w:hyperlink>
    </w:p>
    <w:p w14:paraId="69160BEF" w14:textId="64976113"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29" w:history="1">
        <w:r w:rsidR="008C4328" w:rsidRPr="00C1520D">
          <w:rPr>
            <w:rStyle w:val="Hyperlink"/>
            <w:noProof/>
          </w:rPr>
          <w:t>2.2.1</w:t>
        </w:r>
        <w:r w:rsidR="008C4328">
          <w:rPr>
            <w:rFonts w:eastAsiaTheme="minorEastAsia" w:cstheme="minorBidi"/>
            <w:i w:val="0"/>
            <w:iCs w:val="0"/>
            <w:noProof/>
            <w:sz w:val="22"/>
            <w:szCs w:val="22"/>
            <w:lang w:eastAsia="en-GB" w:bidi="ar-SA"/>
          </w:rPr>
          <w:tab/>
        </w:r>
        <w:r w:rsidR="008C4328" w:rsidRPr="00C1520D">
          <w:rPr>
            <w:rStyle w:val="Hyperlink"/>
            <w:noProof/>
          </w:rPr>
          <w:t>FSANZ’s approach to the assessment of evidence</w:t>
        </w:r>
        <w:r w:rsidR="008C4328">
          <w:rPr>
            <w:noProof/>
            <w:webHidden/>
          </w:rPr>
          <w:tab/>
        </w:r>
        <w:r w:rsidR="008C4328">
          <w:rPr>
            <w:noProof/>
            <w:webHidden/>
          </w:rPr>
          <w:fldChar w:fldCharType="begin"/>
        </w:r>
        <w:r w:rsidR="008C4328">
          <w:rPr>
            <w:noProof/>
            <w:webHidden/>
          </w:rPr>
          <w:instrText xml:space="preserve"> PAGEREF _Toc22650329 \h </w:instrText>
        </w:r>
        <w:r w:rsidR="008C4328">
          <w:rPr>
            <w:noProof/>
            <w:webHidden/>
          </w:rPr>
        </w:r>
        <w:r w:rsidR="008C4328">
          <w:rPr>
            <w:noProof/>
            <w:webHidden/>
          </w:rPr>
          <w:fldChar w:fldCharType="separate"/>
        </w:r>
        <w:r w:rsidR="008F04DE">
          <w:rPr>
            <w:noProof/>
            <w:webHidden/>
          </w:rPr>
          <w:t>20</w:t>
        </w:r>
        <w:r w:rsidR="008C4328">
          <w:rPr>
            <w:noProof/>
            <w:webHidden/>
          </w:rPr>
          <w:fldChar w:fldCharType="end"/>
        </w:r>
      </w:hyperlink>
    </w:p>
    <w:p w14:paraId="0DD4B043" w14:textId="63C93AC7"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30" w:history="1">
        <w:r w:rsidR="008C4328" w:rsidRPr="00C1520D">
          <w:rPr>
            <w:rStyle w:val="Hyperlink"/>
            <w:noProof/>
          </w:rPr>
          <w:t>2.2.2</w:t>
        </w:r>
        <w:r w:rsidR="008C4328">
          <w:rPr>
            <w:rFonts w:eastAsiaTheme="minorEastAsia" w:cstheme="minorBidi"/>
            <w:i w:val="0"/>
            <w:iCs w:val="0"/>
            <w:noProof/>
            <w:sz w:val="22"/>
            <w:szCs w:val="22"/>
            <w:lang w:eastAsia="en-GB" w:bidi="ar-SA"/>
          </w:rPr>
          <w:tab/>
        </w:r>
        <w:r w:rsidR="008C4328" w:rsidRPr="00C1520D">
          <w:rPr>
            <w:rStyle w:val="Hyperlink"/>
            <w:noProof/>
          </w:rPr>
          <w:t>Safety and technical assessment</w:t>
        </w:r>
        <w:r w:rsidR="008C4328">
          <w:rPr>
            <w:noProof/>
            <w:webHidden/>
          </w:rPr>
          <w:tab/>
        </w:r>
        <w:r w:rsidR="008C4328">
          <w:rPr>
            <w:noProof/>
            <w:webHidden/>
          </w:rPr>
          <w:fldChar w:fldCharType="begin"/>
        </w:r>
        <w:r w:rsidR="008C4328">
          <w:rPr>
            <w:noProof/>
            <w:webHidden/>
          </w:rPr>
          <w:instrText xml:space="preserve"> PAGEREF _Toc22650330 \h </w:instrText>
        </w:r>
        <w:r w:rsidR="008C4328">
          <w:rPr>
            <w:noProof/>
            <w:webHidden/>
          </w:rPr>
        </w:r>
        <w:r w:rsidR="008C4328">
          <w:rPr>
            <w:noProof/>
            <w:webHidden/>
          </w:rPr>
          <w:fldChar w:fldCharType="separate"/>
        </w:r>
        <w:r w:rsidR="008F04DE">
          <w:rPr>
            <w:noProof/>
            <w:webHidden/>
          </w:rPr>
          <w:t>20</w:t>
        </w:r>
        <w:r w:rsidR="008C4328">
          <w:rPr>
            <w:noProof/>
            <w:webHidden/>
          </w:rPr>
          <w:fldChar w:fldCharType="end"/>
        </w:r>
      </w:hyperlink>
    </w:p>
    <w:p w14:paraId="337AA50D" w14:textId="7DD3F10E"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31" w:history="1">
        <w:r w:rsidR="008C4328" w:rsidRPr="00C1520D">
          <w:rPr>
            <w:rStyle w:val="Hyperlink"/>
            <w:noProof/>
          </w:rPr>
          <w:t>2.2.3</w:t>
        </w:r>
        <w:r w:rsidR="008C4328">
          <w:rPr>
            <w:rFonts w:eastAsiaTheme="minorEastAsia" w:cstheme="minorBidi"/>
            <w:i w:val="0"/>
            <w:iCs w:val="0"/>
            <w:noProof/>
            <w:sz w:val="22"/>
            <w:szCs w:val="22"/>
            <w:lang w:eastAsia="en-GB" w:bidi="ar-SA"/>
          </w:rPr>
          <w:tab/>
        </w:r>
        <w:r w:rsidR="008C4328" w:rsidRPr="00C1520D">
          <w:rPr>
            <w:rStyle w:val="Hyperlink"/>
            <w:noProof/>
          </w:rPr>
          <w:t>Assessment of health effects</w:t>
        </w:r>
        <w:r w:rsidR="008C4328">
          <w:rPr>
            <w:noProof/>
            <w:webHidden/>
          </w:rPr>
          <w:tab/>
        </w:r>
        <w:r w:rsidR="008C4328">
          <w:rPr>
            <w:noProof/>
            <w:webHidden/>
          </w:rPr>
          <w:fldChar w:fldCharType="begin"/>
        </w:r>
        <w:r w:rsidR="008C4328">
          <w:rPr>
            <w:noProof/>
            <w:webHidden/>
          </w:rPr>
          <w:instrText xml:space="preserve"> PAGEREF _Toc22650331 \h </w:instrText>
        </w:r>
        <w:r w:rsidR="008C4328">
          <w:rPr>
            <w:noProof/>
            <w:webHidden/>
          </w:rPr>
        </w:r>
        <w:r w:rsidR="008C4328">
          <w:rPr>
            <w:noProof/>
            <w:webHidden/>
          </w:rPr>
          <w:fldChar w:fldCharType="separate"/>
        </w:r>
        <w:r w:rsidR="008F04DE">
          <w:rPr>
            <w:noProof/>
            <w:webHidden/>
          </w:rPr>
          <w:t>21</w:t>
        </w:r>
        <w:r w:rsidR="008C4328">
          <w:rPr>
            <w:noProof/>
            <w:webHidden/>
          </w:rPr>
          <w:fldChar w:fldCharType="end"/>
        </w:r>
      </w:hyperlink>
    </w:p>
    <w:p w14:paraId="031AABBC" w14:textId="3FBF00B8"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32" w:history="1">
        <w:r w:rsidR="008C4328" w:rsidRPr="00C1520D">
          <w:rPr>
            <w:rStyle w:val="Hyperlink"/>
            <w:noProof/>
          </w:rPr>
          <w:t>2.2.4</w:t>
        </w:r>
        <w:r w:rsidR="008C4328">
          <w:rPr>
            <w:rFonts w:eastAsiaTheme="minorEastAsia" w:cstheme="minorBidi"/>
            <w:i w:val="0"/>
            <w:iCs w:val="0"/>
            <w:noProof/>
            <w:sz w:val="22"/>
            <w:szCs w:val="22"/>
            <w:lang w:eastAsia="en-GB" w:bidi="ar-SA"/>
          </w:rPr>
          <w:tab/>
        </w:r>
        <w:r w:rsidR="008C4328" w:rsidRPr="00C1520D">
          <w:rPr>
            <w:rStyle w:val="Hyperlink"/>
            <w:noProof/>
          </w:rPr>
          <w:t>Risk assessment summary</w:t>
        </w:r>
        <w:r w:rsidR="008C4328">
          <w:rPr>
            <w:noProof/>
            <w:webHidden/>
          </w:rPr>
          <w:tab/>
        </w:r>
        <w:r w:rsidR="008C4328">
          <w:rPr>
            <w:noProof/>
            <w:webHidden/>
          </w:rPr>
          <w:fldChar w:fldCharType="begin"/>
        </w:r>
        <w:r w:rsidR="008C4328">
          <w:rPr>
            <w:noProof/>
            <w:webHidden/>
          </w:rPr>
          <w:instrText xml:space="preserve"> PAGEREF _Toc22650332 \h </w:instrText>
        </w:r>
        <w:r w:rsidR="008C4328">
          <w:rPr>
            <w:noProof/>
            <w:webHidden/>
          </w:rPr>
        </w:r>
        <w:r w:rsidR="008C4328">
          <w:rPr>
            <w:noProof/>
            <w:webHidden/>
          </w:rPr>
          <w:fldChar w:fldCharType="separate"/>
        </w:r>
        <w:r w:rsidR="008F04DE">
          <w:rPr>
            <w:noProof/>
            <w:webHidden/>
          </w:rPr>
          <w:t>2</w:t>
        </w:r>
        <w:r w:rsidR="008C4328">
          <w:rPr>
            <w:noProof/>
            <w:webHidden/>
          </w:rPr>
          <w:fldChar w:fldCharType="end"/>
        </w:r>
      </w:hyperlink>
    </w:p>
    <w:p w14:paraId="313AEDC4" w14:textId="063D4520" w:rsidR="008C4328" w:rsidRDefault="004C6E69">
      <w:pPr>
        <w:pStyle w:val="TOC2"/>
        <w:tabs>
          <w:tab w:val="left" w:pos="880"/>
          <w:tab w:val="right" w:leader="dot" w:pos="9060"/>
        </w:tabs>
        <w:rPr>
          <w:rFonts w:eastAsiaTheme="minorEastAsia" w:cstheme="minorBidi"/>
          <w:smallCaps w:val="0"/>
          <w:noProof/>
          <w:sz w:val="22"/>
          <w:szCs w:val="22"/>
          <w:lang w:eastAsia="en-GB" w:bidi="ar-SA"/>
        </w:rPr>
      </w:pPr>
      <w:hyperlink w:anchor="_Toc22650333" w:history="1">
        <w:r w:rsidR="008C4328" w:rsidRPr="00C1520D">
          <w:rPr>
            <w:rStyle w:val="Hyperlink"/>
            <w:noProof/>
          </w:rPr>
          <w:t>2.3</w:t>
        </w:r>
        <w:r w:rsidR="008C4328">
          <w:rPr>
            <w:rFonts w:eastAsiaTheme="minorEastAsia" w:cstheme="minorBidi"/>
            <w:smallCaps w:val="0"/>
            <w:noProof/>
            <w:sz w:val="22"/>
            <w:szCs w:val="22"/>
            <w:lang w:eastAsia="en-GB" w:bidi="ar-SA"/>
          </w:rPr>
          <w:tab/>
        </w:r>
        <w:r w:rsidR="008C4328" w:rsidRPr="00C1520D">
          <w:rPr>
            <w:rStyle w:val="Hyperlink"/>
            <w:noProof/>
          </w:rPr>
          <w:t>Risk management</w:t>
        </w:r>
        <w:r w:rsidR="008C4328">
          <w:rPr>
            <w:noProof/>
            <w:webHidden/>
          </w:rPr>
          <w:tab/>
        </w:r>
        <w:r w:rsidR="008C4328">
          <w:rPr>
            <w:noProof/>
            <w:webHidden/>
          </w:rPr>
          <w:fldChar w:fldCharType="begin"/>
        </w:r>
        <w:r w:rsidR="008C4328">
          <w:rPr>
            <w:noProof/>
            <w:webHidden/>
          </w:rPr>
          <w:instrText xml:space="preserve"> PAGEREF _Toc22650333 \h </w:instrText>
        </w:r>
        <w:r w:rsidR="008C4328">
          <w:rPr>
            <w:noProof/>
            <w:webHidden/>
          </w:rPr>
        </w:r>
        <w:r w:rsidR="008C4328">
          <w:rPr>
            <w:noProof/>
            <w:webHidden/>
          </w:rPr>
          <w:fldChar w:fldCharType="separate"/>
        </w:r>
        <w:r w:rsidR="008F04DE">
          <w:rPr>
            <w:noProof/>
            <w:webHidden/>
          </w:rPr>
          <w:t>2</w:t>
        </w:r>
        <w:r w:rsidR="008C4328">
          <w:rPr>
            <w:noProof/>
            <w:webHidden/>
          </w:rPr>
          <w:fldChar w:fldCharType="end"/>
        </w:r>
      </w:hyperlink>
    </w:p>
    <w:p w14:paraId="3CC040F6" w14:textId="252FB42E"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34" w:history="1">
        <w:r w:rsidR="008C4328" w:rsidRPr="00C1520D">
          <w:rPr>
            <w:rStyle w:val="Hyperlink"/>
            <w:noProof/>
          </w:rPr>
          <w:t>2.3.1</w:t>
        </w:r>
        <w:r w:rsidR="008C4328">
          <w:rPr>
            <w:rFonts w:eastAsiaTheme="minorEastAsia" w:cstheme="minorBidi"/>
            <w:i w:val="0"/>
            <w:iCs w:val="0"/>
            <w:noProof/>
            <w:sz w:val="22"/>
            <w:szCs w:val="22"/>
            <w:lang w:eastAsia="en-GB" w:bidi="ar-SA"/>
          </w:rPr>
          <w:tab/>
        </w:r>
        <w:r w:rsidR="008C4328" w:rsidRPr="00C1520D">
          <w:rPr>
            <w:rStyle w:val="Hyperlink"/>
            <w:noProof/>
          </w:rPr>
          <w:t>Maximum use levels and units expression</w:t>
        </w:r>
        <w:r w:rsidR="008C4328">
          <w:rPr>
            <w:noProof/>
            <w:webHidden/>
          </w:rPr>
          <w:tab/>
        </w:r>
        <w:r w:rsidR="008C4328">
          <w:rPr>
            <w:noProof/>
            <w:webHidden/>
          </w:rPr>
          <w:fldChar w:fldCharType="begin"/>
        </w:r>
        <w:r w:rsidR="008C4328">
          <w:rPr>
            <w:noProof/>
            <w:webHidden/>
          </w:rPr>
          <w:instrText xml:space="preserve"> PAGEREF _Toc22650334 \h </w:instrText>
        </w:r>
        <w:r w:rsidR="008C4328">
          <w:rPr>
            <w:noProof/>
            <w:webHidden/>
          </w:rPr>
        </w:r>
        <w:r w:rsidR="008C4328">
          <w:rPr>
            <w:noProof/>
            <w:webHidden/>
          </w:rPr>
          <w:fldChar w:fldCharType="separate"/>
        </w:r>
        <w:r w:rsidR="008F04DE">
          <w:rPr>
            <w:noProof/>
            <w:webHidden/>
          </w:rPr>
          <w:t>2</w:t>
        </w:r>
        <w:r w:rsidR="008C4328">
          <w:rPr>
            <w:noProof/>
            <w:webHidden/>
          </w:rPr>
          <w:fldChar w:fldCharType="end"/>
        </w:r>
      </w:hyperlink>
    </w:p>
    <w:p w14:paraId="3688F628" w14:textId="14EE9781"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35" w:history="1">
        <w:r w:rsidR="008C4328" w:rsidRPr="00C1520D">
          <w:rPr>
            <w:rStyle w:val="Hyperlink"/>
            <w:noProof/>
          </w:rPr>
          <w:t>2.3.2</w:t>
        </w:r>
        <w:r w:rsidR="008C4328">
          <w:rPr>
            <w:rFonts w:eastAsiaTheme="minorEastAsia" w:cstheme="minorBidi"/>
            <w:i w:val="0"/>
            <w:iCs w:val="0"/>
            <w:noProof/>
            <w:sz w:val="22"/>
            <w:szCs w:val="22"/>
            <w:lang w:eastAsia="en-GB" w:bidi="ar-SA"/>
          </w:rPr>
          <w:tab/>
        </w:r>
        <w:r w:rsidR="008C4328" w:rsidRPr="00C1520D">
          <w:rPr>
            <w:rStyle w:val="Hyperlink"/>
            <w:noProof/>
          </w:rPr>
          <w:t>Minimum levels</w:t>
        </w:r>
        <w:r w:rsidR="008C4328">
          <w:rPr>
            <w:noProof/>
            <w:webHidden/>
          </w:rPr>
          <w:tab/>
        </w:r>
        <w:r w:rsidR="008C4328">
          <w:rPr>
            <w:noProof/>
            <w:webHidden/>
          </w:rPr>
          <w:fldChar w:fldCharType="begin"/>
        </w:r>
        <w:r w:rsidR="008C4328">
          <w:rPr>
            <w:noProof/>
            <w:webHidden/>
          </w:rPr>
          <w:instrText xml:space="preserve"> PAGEREF _Toc22650335 \h </w:instrText>
        </w:r>
        <w:r w:rsidR="008C4328">
          <w:rPr>
            <w:noProof/>
            <w:webHidden/>
          </w:rPr>
        </w:r>
        <w:r w:rsidR="008C4328">
          <w:rPr>
            <w:noProof/>
            <w:webHidden/>
          </w:rPr>
          <w:fldChar w:fldCharType="separate"/>
        </w:r>
        <w:r w:rsidR="008F04DE">
          <w:rPr>
            <w:noProof/>
            <w:webHidden/>
          </w:rPr>
          <w:t>2</w:t>
        </w:r>
        <w:r w:rsidR="008C4328">
          <w:rPr>
            <w:noProof/>
            <w:webHidden/>
          </w:rPr>
          <w:fldChar w:fldCharType="end"/>
        </w:r>
      </w:hyperlink>
    </w:p>
    <w:p w14:paraId="3F583FBD" w14:textId="73915FB9"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36" w:history="1">
        <w:r w:rsidR="008C4328" w:rsidRPr="00C1520D">
          <w:rPr>
            <w:rStyle w:val="Hyperlink"/>
            <w:noProof/>
          </w:rPr>
          <w:t>2.3.3</w:t>
        </w:r>
        <w:r w:rsidR="008C4328">
          <w:rPr>
            <w:rFonts w:eastAsiaTheme="minorEastAsia" w:cstheme="minorBidi"/>
            <w:i w:val="0"/>
            <w:iCs w:val="0"/>
            <w:noProof/>
            <w:sz w:val="22"/>
            <w:szCs w:val="22"/>
            <w:lang w:eastAsia="en-GB" w:bidi="ar-SA"/>
          </w:rPr>
          <w:tab/>
        </w:r>
        <w:r w:rsidR="008C4328" w:rsidRPr="00C1520D">
          <w:rPr>
            <w:rStyle w:val="Hyperlink"/>
            <w:noProof/>
          </w:rPr>
          <w:t>Consideration of the policy guidelines</w:t>
        </w:r>
        <w:r w:rsidR="008C4328">
          <w:rPr>
            <w:noProof/>
            <w:webHidden/>
          </w:rPr>
          <w:tab/>
        </w:r>
        <w:r w:rsidR="008C4328">
          <w:rPr>
            <w:noProof/>
            <w:webHidden/>
          </w:rPr>
          <w:fldChar w:fldCharType="begin"/>
        </w:r>
        <w:r w:rsidR="008C4328">
          <w:rPr>
            <w:noProof/>
            <w:webHidden/>
          </w:rPr>
          <w:instrText xml:space="preserve"> PAGEREF _Toc22650336 \h </w:instrText>
        </w:r>
        <w:r w:rsidR="008C4328">
          <w:rPr>
            <w:noProof/>
            <w:webHidden/>
          </w:rPr>
        </w:r>
        <w:r w:rsidR="008C4328">
          <w:rPr>
            <w:noProof/>
            <w:webHidden/>
          </w:rPr>
          <w:fldChar w:fldCharType="separate"/>
        </w:r>
        <w:r w:rsidR="008F04DE">
          <w:rPr>
            <w:noProof/>
            <w:webHidden/>
          </w:rPr>
          <w:t>3</w:t>
        </w:r>
        <w:r w:rsidR="008C4328">
          <w:rPr>
            <w:noProof/>
            <w:webHidden/>
          </w:rPr>
          <w:fldChar w:fldCharType="end"/>
        </w:r>
      </w:hyperlink>
    </w:p>
    <w:p w14:paraId="3791FC05" w14:textId="76900F49"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37" w:history="1">
        <w:r w:rsidR="008C4328" w:rsidRPr="00C1520D">
          <w:rPr>
            <w:rStyle w:val="Hyperlink"/>
            <w:noProof/>
          </w:rPr>
          <w:t>2.3.4</w:t>
        </w:r>
        <w:r w:rsidR="008C4328">
          <w:rPr>
            <w:rFonts w:eastAsiaTheme="minorEastAsia" w:cstheme="minorBidi"/>
            <w:i w:val="0"/>
            <w:iCs w:val="0"/>
            <w:noProof/>
            <w:sz w:val="22"/>
            <w:szCs w:val="22"/>
            <w:lang w:eastAsia="en-GB" w:bidi="ar-SA"/>
          </w:rPr>
          <w:tab/>
        </w:r>
        <w:r w:rsidR="008C4328" w:rsidRPr="00C1520D">
          <w:rPr>
            <w:rStyle w:val="Hyperlink"/>
            <w:noProof/>
          </w:rPr>
          <w:t>Labelling</w:t>
        </w:r>
        <w:r w:rsidR="008C4328">
          <w:rPr>
            <w:noProof/>
            <w:webHidden/>
          </w:rPr>
          <w:tab/>
        </w:r>
        <w:r w:rsidR="008C4328">
          <w:rPr>
            <w:noProof/>
            <w:webHidden/>
          </w:rPr>
          <w:fldChar w:fldCharType="begin"/>
        </w:r>
        <w:r w:rsidR="008C4328">
          <w:rPr>
            <w:noProof/>
            <w:webHidden/>
          </w:rPr>
          <w:instrText xml:space="preserve"> PAGEREF _Toc22650337 \h </w:instrText>
        </w:r>
        <w:r w:rsidR="008C4328">
          <w:rPr>
            <w:noProof/>
            <w:webHidden/>
          </w:rPr>
        </w:r>
        <w:r w:rsidR="008C4328">
          <w:rPr>
            <w:noProof/>
            <w:webHidden/>
          </w:rPr>
          <w:fldChar w:fldCharType="separate"/>
        </w:r>
        <w:r w:rsidR="008F04DE">
          <w:rPr>
            <w:noProof/>
            <w:webHidden/>
          </w:rPr>
          <w:t>4</w:t>
        </w:r>
        <w:r w:rsidR="008C4328">
          <w:rPr>
            <w:noProof/>
            <w:webHidden/>
          </w:rPr>
          <w:fldChar w:fldCharType="end"/>
        </w:r>
      </w:hyperlink>
    </w:p>
    <w:p w14:paraId="767E14CB" w14:textId="1FFD8C2C"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38" w:history="1">
        <w:r w:rsidR="008C4328" w:rsidRPr="00C1520D">
          <w:rPr>
            <w:rStyle w:val="Hyperlink"/>
            <w:noProof/>
          </w:rPr>
          <w:t>2.3.5</w:t>
        </w:r>
        <w:r w:rsidR="008C4328">
          <w:rPr>
            <w:rFonts w:eastAsiaTheme="minorEastAsia" w:cstheme="minorBidi"/>
            <w:i w:val="0"/>
            <w:iCs w:val="0"/>
            <w:noProof/>
            <w:sz w:val="22"/>
            <w:szCs w:val="22"/>
            <w:lang w:eastAsia="en-GB" w:bidi="ar-SA"/>
          </w:rPr>
          <w:tab/>
        </w:r>
        <w:r w:rsidR="008C4328" w:rsidRPr="00C1520D">
          <w:rPr>
            <w:rStyle w:val="Hyperlink"/>
            <w:noProof/>
          </w:rPr>
          <w:t>Specifications for 2′-FL and LNnT</w:t>
        </w:r>
        <w:r w:rsidR="008C4328">
          <w:rPr>
            <w:noProof/>
            <w:webHidden/>
          </w:rPr>
          <w:tab/>
        </w:r>
        <w:r w:rsidR="008C4328">
          <w:rPr>
            <w:noProof/>
            <w:webHidden/>
          </w:rPr>
          <w:fldChar w:fldCharType="begin"/>
        </w:r>
        <w:r w:rsidR="008C4328">
          <w:rPr>
            <w:noProof/>
            <w:webHidden/>
          </w:rPr>
          <w:instrText xml:space="preserve"> PAGEREF _Toc22650338 \h </w:instrText>
        </w:r>
        <w:r w:rsidR="008C4328">
          <w:rPr>
            <w:noProof/>
            <w:webHidden/>
          </w:rPr>
        </w:r>
        <w:r w:rsidR="008C4328">
          <w:rPr>
            <w:noProof/>
            <w:webHidden/>
          </w:rPr>
          <w:fldChar w:fldCharType="separate"/>
        </w:r>
        <w:r w:rsidR="008F04DE">
          <w:rPr>
            <w:noProof/>
            <w:webHidden/>
          </w:rPr>
          <w:t>8</w:t>
        </w:r>
        <w:r w:rsidR="008C4328">
          <w:rPr>
            <w:noProof/>
            <w:webHidden/>
          </w:rPr>
          <w:fldChar w:fldCharType="end"/>
        </w:r>
      </w:hyperlink>
    </w:p>
    <w:p w14:paraId="5DF0ACCD" w14:textId="115B43E9"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39" w:history="1">
        <w:r w:rsidR="008C4328" w:rsidRPr="00C1520D">
          <w:rPr>
            <w:rStyle w:val="Hyperlink"/>
            <w:noProof/>
          </w:rPr>
          <w:t>2.3.6</w:t>
        </w:r>
        <w:r w:rsidR="008C4328">
          <w:rPr>
            <w:rFonts w:eastAsiaTheme="minorEastAsia" w:cstheme="minorBidi"/>
            <w:i w:val="0"/>
            <w:iCs w:val="0"/>
            <w:noProof/>
            <w:sz w:val="22"/>
            <w:szCs w:val="22"/>
            <w:lang w:eastAsia="en-GB" w:bidi="ar-SA"/>
          </w:rPr>
          <w:tab/>
        </w:r>
        <w:r w:rsidR="008C4328" w:rsidRPr="00C1520D">
          <w:rPr>
            <w:rStyle w:val="Hyperlink"/>
            <w:noProof/>
          </w:rPr>
          <w:t>International harmonisation</w:t>
        </w:r>
        <w:r w:rsidR="008C4328">
          <w:rPr>
            <w:noProof/>
            <w:webHidden/>
          </w:rPr>
          <w:tab/>
        </w:r>
        <w:r w:rsidR="008C4328">
          <w:rPr>
            <w:noProof/>
            <w:webHidden/>
          </w:rPr>
          <w:fldChar w:fldCharType="begin"/>
        </w:r>
        <w:r w:rsidR="008C4328">
          <w:rPr>
            <w:noProof/>
            <w:webHidden/>
          </w:rPr>
          <w:instrText xml:space="preserve"> PAGEREF _Toc22650339 \h </w:instrText>
        </w:r>
        <w:r w:rsidR="008C4328">
          <w:rPr>
            <w:noProof/>
            <w:webHidden/>
          </w:rPr>
        </w:r>
        <w:r w:rsidR="008C4328">
          <w:rPr>
            <w:noProof/>
            <w:webHidden/>
          </w:rPr>
          <w:fldChar w:fldCharType="separate"/>
        </w:r>
        <w:r w:rsidR="008F04DE">
          <w:rPr>
            <w:noProof/>
            <w:webHidden/>
          </w:rPr>
          <w:t>8</w:t>
        </w:r>
        <w:r w:rsidR="008C4328">
          <w:rPr>
            <w:noProof/>
            <w:webHidden/>
          </w:rPr>
          <w:fldChar w:fldCharType="end"/>
        </w:r>
      </w:hyperlink>
    </w:p>
    <w:p w14:paraId="75221474" w14:textId="0EADACDF"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40" w:history="1">
        <w:r w:rsidR="008C4328" w:rsidRPr="00C1520D">
          <w:rPr>
            <w:rStyle w:val="Hyperlink"/>
            <w:noProof/>
          </w:rPr>
          <w:t>2.3.7</w:t>
        </w:r>
        <w:r w:rsidR="008C4328">
          <w:rPr>
            <w:rFonts w:eastAsiaTheme="minorEastAsia" w:cstheme="minorBidi"/>
            <w:i w:val="0"/>
            <w:iCs w:val="0"/>
            <w:noProof/>
            <w:sz w:val="22"/>
            <w:szCs w:val="22"/>
            <w:lang w:eastAsia="en-GB" w:bidi="ar-SA"/>
          </w:rPr>
          <w:tab/>
        </w:r>
        <w:r w:rsidR="008C4328" w:rsidRPr="00C1520D">
          <w:rPr>
            <w:rStyle w:val="Hyperlink"/>
            <w:noProof/>
          </w:rPr>
          <w:t>Exclusivity</w:t>
        </w:r>
        <w:r w:rsidR="008C4328">
          <w:rPr>
            <w:noProof/>
            <w:webHidden/>
          </w:rPr>
          <w:tab/>
        </w:r>
        <w:r w:rsidR="008C4328">
          <w:rPr>
            <w:noProof/>
            <w:webHidden/>
          </w:rPr>
          <w:fldChar w:fldCharType="begin"/>
        </w:r>
        <w:r w:rsidR="008C4328">
          <w:rPr>
            <w:noProof/>
            <w:webHidden/>
          </w:rPr>
          <w:instrText xml:space="preserve"> PAGEREF _Toc22650340 \h </w:instrText>
        </w:r>
        <w:r w:rsidR="008C4328">
          <w:rPr>
            <w:noProof/>
            <w:webHidden/>
          </w:rPr>
        </w:r>
        <w:r w:rsidR="008C4328">
          <w:rPr>
            <w:noProof/>
            <w:webHidden/>
          </w:rPr>
          <w:fldChar w:fldCharType="separate"/>
        </w:r>
        <w:r w:rsidR="008F04DE">
          <w:rPr>
            <w:noProof/>
            <w:webHidden/>
          </w:rPr>
          <w:t>9</w:t>
        </w:r>
        <w:r w:rsidR="008C4328">
          <w:rPr>
            <w:noProof/>
            <w:webHidden/>
          </w:rPr>
          <w:fldChar w:fldCharType="end"/>
        </w:r>
      </w:hyperlink>
    </w:p>
    <w:p w14:paraId="37779A21" w14:textId="66EE7098"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41" w:history="1">
        <w:r w:rsidR="008C4328" w:rsidRPr="00C1520D">
          <w:rPr>
            <w:rStyle w:val="Hyperlink"/>
            <w:noProof/>
          </w:rPr>
          <w:t>2.3.8</w:t>
        </w:r>
        <w:r w:rsidR="008C4328">
          <w:rPr>
            <w:rFonts w:eastAsiaTheme="minorEastAsia" w:cstheme="minorBidi"/>
            <w:i w:val="0"/>
            <w:iCs w:val="0"/>
            <w:noProof/>
            <w:sz w:val="22"/>
            <w:szCs w:val="22"/>
            <w:lang w:eastAsia="en-GB" w:bidi="ar-SA"/>
          </w:rPr>
          <w:tab/>
        </w:r>
        <w:r w:rsidR="008C4328" w:rsidRPr="00C1520D">
          <w:rPr>
            <w:rStyle w:val="Hyperlink"/>
            <w:noProof/>
          </w:rPr>
          <w:t>Conclusion</w:t>
        </w:r>
        <w:r w:rsidR="008C4328">
          <w:rPr>
            <w:noProof/>
            <w:webHidden/>
          </w:rPr>
          <w:tab/>
        </w:r>
        <w:r w:rsidR="008C4328">
          <w:rPr>
            <w:noProof/>
            <w:webHidden/>
          </w:rPr>
          <w:fldChar w:fldCharType="begin"/>
        </w:r>
        <w:r w:rsidR="008C4328">
          <w:rPr>
            <w:noProof/>
            <w:webHidden/>
          </w:rPr>
          <w:instrText xml:space="preserve"> PAGEREF _Toc22650341 \h </w:instrText>
        </w:r>
        <w:r w:rsidR="008C4328">
          <w:rPr>
            <w:noProof/>
            <w:webHidden/>
          </w:rPr>
        </w:r>
        <w:r w:rsidR="008C4328">
          <w:rPr>
            <w:noProof/>
            <w:webHidden/>
          </w:rPr>
          <w:fldChar w:fldCharType="separate"/>
        </w:r>
        <w:r w:rsidR="008F04DE">
          <w:rPr>
            <w:noProof/>
            <w:webHidden/>
          </w:rPr>
          <w:t>9</w:t>
        </w:r>
        <w:r w:rsidR="008C4328">
          <w:rPr>
            <w:noProof/>
            <w:webHidden/>
          </w:rPr>
          <w:fldChar w:fldCharType="end"/>
        </w:r>
      </w:hyperlink>
    </w:p>
    <w:p w14:paraId="0260C4BA" w14:textId="304CFEC1"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42" w:history="1">
        <w:r w:rsidR="008C4328" w:rsidRPr="00C1520D">
          <w:rPr>
            <w:rStyle w:val="Hyperlink"/>
            <w:noProof/>
          </w:rPr>
          <w:t>2.3.9</w:t>
        </w:r>
        <w:r w:rsidR="008C4328">
          <w:rPr>
            <w:rFonts w:eastAsiaTheme="minorEastAsia" w:cstheme="minorBidi"/>
            <w:i w:val="0"/>
            <w:iCs w:val="0"/>
            <w:noProof/>
            <w:sz w:val="22"/>
            <w:szCs w:val="22"/>
            <w:lang w:eastAsia="en-GB" w:bidi="ar-SA"/>
          </w:rPr>
          <w:tab/>
        </w:r>
        <w:r w:rsidR="008C4328" w:rsidRPr="00C1520D">
          <w:rPr>
            <w:rStyle w:val="Hyperlink"/>
            <w:noProof/>
          </w:rPr>
          <w:t>Summary of the regulatory measures</w:t>
        </w:r>
        <w:r w:rsidR="008C4328">
          <w:rPr>
            <w:noProof/>
            <w:webHidden/>
          </w:rPr>
          <w:tab/>
        </w:r>
        <w:r w:rsidR="008C4328">
          <w:rPr>
            <w:noProof/>
            <w:webHidden/>
          </w:rPr>
          <w:fldChar w:fldCharType="begin"/>
        </w:r>
        <w:r w:rsidR="008C4328">
          <w:rPr>
            <w:noProof/>
            <w:webHidden/>
          </w:rPr>
          <w:instrText xml:space="preserve"> PAGEREF _Toc22650342 \h </w:instrText>
        </w:r>
        <w:r w:rsidR="008C4328">
          <w:rPr>
            <w:noProof/>
            <w:webHidden/>
          </w:rPr>
        </w:r>
        <w:r w:rsidR="008C4328">
          <w:rPr>
            <w:noProof/>
            <w:webHidden/>
          </w:rPr>
          <w:fldChar w:fldCharType="separate"/>
        </w:r>
        <w:r w:rsidR="008F04DE">
          <w:rPr>
            <w:noProof/>
            <w:webHidden/>
          </w:rPr>
          <w:t>9</w:t>
        </w:r>
        <w:r w:rsidR="008C4328">
          <w:rPr>
            <w:noProof/>
            <w:webHidden/>
          </w:rPr>
          <w:fldChar w:fldCharType="end"/>
        </w:r>
      </w:hyperlink>
    </w:p>
    <w:p w14:paraId="5567B3CA" w14:textId="6EDB0C3F" w:rsidR="008C4328" w:rsidRDefault="004C6E69">
      <w:pPr>
        <w:pStyle w:val="TOC2"/>
        <w:tabs>
          <w:tab w:val="left" w:pos="880"/>
          <w:tab w:val="right" w:leader="dot" w:pos="9060"/>
        </w:tabs>
        <w:rPr>
          <w:rFonts w:eastAsiaTheme="minorEastAsia" w:cstheme="minorBidi"/>
          <w:smallCaps w:val="0"/>
          <w:noProof/>
          <w:sz w:val="22"/>
          <w:szCs w:val="22"/>
          <w:lang w:eastAsia="en-GB" w:bidi="ar-SA"/>
        </w:rPr>
      </w:pPr>
      <w:hyperlink w:anchor="_Toc22650343" w:history="1">
        <w:r w:rsidR="008C4328" w:rsidRPr="00C1520D">
          <w:rPr>
            <w:rStyle w:val="Hyperlink"/>
            <w:noProof/>
          </w:rPr>
          <w:t>2.4</w:t>
        </w:r>
        <w:r w:rsidR="008C4328">
          <w:rPr>
            <w:rFonts w:eastAsiaTheme="minorEastAsia" w:cstheme="minorBidi"/>
            <w:smallCaps w:val="0"/>
            <w:noProof/>
            <w:sz w:val="22"/>
            <w:szCs w:val="22"/>
            <w:lang w:eastAsia="en-GB" w:bidi="ar-SA"/>
          </w:rPr>
          <w:tab/>
        </w:r>
        <w:r w:rsidR="008C4328" w:rsidRPr="00C1520D">
          <w:rPr>
            <w:rStyle w:val="Hyperlink"/>
            <w:noProof/>
          </w:rPr>
          <w:t>Risk communication</w:t>
        </w:r>
        <w:r w:rsidR="008C4328">
          <w:rPr>
            <w:noProof/>
            <w:webHidden/>
          </w:rPr>
          <w:tab/>
        </w:r>
        <w:r w:rsidR="008C4328">
          <w:rPr>
            <w:noProof/>
            <w:webHidden/>
          </w:rPr>
          <w:fldChar w:fldCharType="begin"/>
        </w:r>
        <w:r w:rsidR="008C4328">
          <w:rPr>
            <w:noProof/>
            <w:webHidden/>
          </w:rPr>
          <w:instrText xml:space="preserve"> PAGEREF _Toc22650343 \h </w:instrText>
        </w:r>
        <w:r w:rsidR="008C4328">
          <w:rPr>
            <w:noProof/>
            <w:webHidden/>
          </w:rPr>
        </w:r>
        <w:r w:rsidR="008C4328">
          <w:rPr>
            <w:noProof/>
            <w:webHidden/>
          </w:rPr>
          <w:fldChar w:fldCharType="separate"/>
        </w:r>
        <w:r w:rsidR="008F04DE">
          <w:rPr>
            <w:noProof/>
            <w:webHidden/>
          </w:rPr>
          <w:t>10</w:t>
        </w:r>
        <w:r w:rsidR="008C4328">
          <w:rPr>
            <w:noProof/>
            <w:webHidden/>
          </w:rPr>
          <w:fldChar w:fldCharType="end"/>
        </w:r>
      </w:hyperlink>
    </w:p>
    <w:p w14:paraId="06692A46" w14:textId="7AD6141E"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44" w:history="1">
        <w:r w:rsidR="008C4328" w:rsidRPr="00C1520D">
          <w:rPr>
            <w:rStyle w:val="Hyperlink"/>
            <w:noProof/>
          </w:rPr>
          <w:t>2.4.1</w:t>
        </w:r>
        <w:r w:rsidR="008C4328">
          <w:rPr>
            <w:rFonts w:eastAsiaTheme="minorEastAsia" w:cstheme="minorBidi"/>
            <w:i w:val="0"/>
            <w:iCs w:val="0"/>
            <w:noProof/>
            <w:sz w:val="22"/>
            <w:szCs w:val="22"/>
            <w:lang w:eastAsia="en-GB" w:bidi="ar-SA"/>
          </w:rPr>
          <w:tab/>
        </w:r>
        <w:r w:rsidR="008C4328" w:rsidRPr="00C1520D">
          <w:rPr>
            <w:rStyle w:val="Hyperlink"/>
            <w:noProof/>
          </w:rPr>
          <w:t>Consultation</w:t>
        </w:r>
        <w:r w:rsidR="008C4328">
          <w:rPr>
            <w:noProof/>
            <w:webHidden/>
          </w:rPr>
          <w:tab/>
        </w:r>
        <w:r w:rsidR="008C4328">
          <w:rPr>
            <w:noProof/>
            <w:webHidden/>
          </w:rPr>
          <w:fldChar w:fldCharType="begin"/>
        </w:r>
        <w:r w:rsidR="008C4328">
          <w:rPr>
            <w:noProof/>
            <w:webHidden/>
          </w:rPr>
          <w:instrText xml:space="preserve"> PAGEREF _Toc22650344 \h </w:instrText>
        </w:r>
        <w:r w:rsidR="008C4328">
          <w:rPr>
            <w:noProof/>
            <w:webHidden/>
          </w:rPr>
        </w:r>
        <w:r w:rsidR="008C4328">
          <w:rPr>
            <w:noProof/>
            <w:webHidden/>
          </w:rPr>
          <w:fldChar w:fldCharType="separate"/>
        </w:r>
        <w:r w:rsidR="008F04DE">
          <w:rPr>
            <w:noProof/>
            <w:webHidden/>
          </w:rPr>
          <w:t>10</w:t>
        </w:r>
        <w:r w:rsidR="008C4328">
          <w:rPr>
            <w:noProof/>
            <w:webHidden/>
          </w:rPr>
          <w:fldChar w:fldCharType="end"/>
        </w:r>
      </w:hyperlink>
    </w:p>
    <w:p w14:paraId="0B877A67" w14:textId="75CBDAD8"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45" w:history="1">
        <w:r w:rsidR="008C4328" w:rsidRPr="00C1520D">
          <w:rPr>
            <w:rStyle w:val="Hyperlink"/>
            <w:noProof/>
          </w:rPr>
          <w:t>2.4.2</w:t>
        </w:r>
        <w:r w:rsidR="008C4328">
          <w:rPr>
            <w:rFonts w:eastAsiaTheme="minorEastAsia" w:cstheme="minorBidi"/>
            <w:i w:val="0"/>
            <w:iCs w:val="0"/>
            <w:noProof/>
            <w:sz w:val="22"/>
            <w:szCs w:val="22"/>
            <w:lang w:eastAsia="en-GB" w:bidi="ar-SA"/>
          </w:rPr>
          <w:tab/>
        </w:r>
        <w:r w:rsidR="008C4328" w:rsidRPr="00C1520D">
          <w:rPr>
            <w:rStyle w:val="Hyperlink"/>
            <w:noProof/>
          </w:rPr>
          <w:t>World Trade Organization (WTO)</w:t>
        </w:r>
        <w:r w:rsidR="008C4328">
          <w:rPr>
            <w:noProof/>
            <w:webHidden/>
          </w:rPr>
          <w:tab/>
        </w:r>
        <w:r w:rsidR="008C4328">
          <w:rPr>
            <w:noProof/>
            <w:webHidden/>
          </w:rPr>
          <w:fldChar w:fldCharType="begin"/>
        </w:r>
        <w:r w:rsidR="008C4328">
          <w:rPr>
            <w:noProof/>
            <w:webHidden/>
          </w:rPr>
          <w:instrText xml:space="preserve"> PAGEREF _Toc22650345 \h </w:instrText>
        </w:r>
        <w:r w:rsidR="008C4328">
          <w:rPr>
            <w:noProof/>
            <w:webHidden/>
          </w:rPr>
        </w:r>
        <w:r w:rsidR="008C4328">
          <w:rPr>
            <w:noProof/>
            <w:webHidden/>
          </w:rPr>
          <w:fldChar w:fldCharType="separate"/>
        </w:r>
        <w:r w:rsidR="008F04DE">
          <w:rPr>
            <w:noProof/>
            <w:webHidden/>
          </w:rPr>
          <w:t>11</w:t>
        </w:r>
        <w:r w:rsidR="008C4328">
          <w:rPr>
            <w:noProof/>
            <w:webHidden/>
          </w:rPr>
          <w:fldChar w:fldCharType="end"/>
        </w:r>
      </w:hyperlink>
    </w:p>
    <w:p w14:paraId="676F7305" w14:textId="597C2066" w:rsidR="008C4328" w:rsidRDefault="004C6E69">
      <w:pPr>
        <w:pStyle w:val="TOC2"/>
        <w:tabs>
          <w:tab w:val="left" w:pos="880"/>
          <w:tab w:val="right" w:leader="dot" w:pos="9060"/>
        </w:tabs>
        <w:rPr>
          <w:rFonts w:eastAsiaTheme="minorEastAsia" w:cstheme="minorBidi"/>
          <w:smallCaps w:val="0"/>
          <w:noProof/>
          <w:sz w:val="22"/>
          <w:szCs w:val="22"/>
          <w:lang w:eastAsia="en-GB" w:bidi="ar-SA"/>
        </w:rPr>
      </w:pPr>
      <w:hyperlink w:anchor="_Toc22650346" w:history="1">
        <w:r w:rsidR="008C4328" w:rsidRPr="00C1520D">
          <w:rPr>
            <w:rStyle w:val="Hyperlink"/>
            <w:noProof/>
          </w:rPr>
          <w:t>2.5</w:t>
        </w:r>
        <w:r w:rsidR="008C4328">
          <w:rPr>
            <w:rFonts w:eastAsiaTheme="minorEastAsia" w:cstheme="minorBidi"/>
            <w:smallCaps w:val="0"/>
            <w:noProof/>
            <w:sz w:val="22"/>
            <w:szCs w:val="22"/>
            <w:lang w:eastAsia="en-GB" w:bidi="ar-SA"/>
          </w:rPr>
          <w:tab/>
        </w:r>
        <w:r w:rsidR="008C4328" w:rsidRPr="00C1520D">
          <w:rPr>
            <w:rStyle w:val="Hyperlink"/>
            <w:noProof/>
          </w:rPr>
          <w:t>FSANZ Act assessment requirements</w:t>
        </w:r>
        <w:r w:rsidR="008C4328">
          <w:rPr>
            <w:noProof/>
            <w:webHidden/>
          </w:rPr>
          <w:tab/>
        </w:r>
        <w:r w:rsidR="008C4328">
          <w:rPr>
            <w:noProof/>
            <w:webHidden/>
          </w:rPr>
          <w:fldChar w:fldCharType="begin"/>
        </w:r>
        <w:r w:rsidR="008C4328">
          <w:rPr>
            <w:noProof/>
            <w:webHidden/>
          </w:rPr>
          <w:instrText xml:space="preserve"> PAGEREF _Toc22650346 \h </w:instrText>
        </w:r>
        <w:r w:rsidR="008C4328">
          <w:rPr>
            <w:noProof/>
            <w:webHidden/>
          </w:rPr>
        </w:r>
        <w:r w:rsidR="008C4328">
          <w:rPr>
            <w:noProof/>
            <w:webHidden/>
          </w:rPr>
          <w:fldChar w:fldCharType="separate"/>
        </w:r>
        <w:r w:rsidR="008F04DE">
          <w:rPr>
            <w:noProof/>
            <w:webHidden/>
          </w:rPr>
          <w:t>11</w:t>
        </w:r>
        <w:r w:rsidR="008C4328">
          <w:rPr>
            <w:noProof/>
            <w:webHidden/>
          </w:rPr>
          <w:fldChar w:fldCharType="end"/>
        </w:r>
      </w:hyperlink>
    </w:p>
    <w:p w14:paraId="399C6A19" w14:textId="66F60375" w:rsidR="008C4328" w:rsidRDefault="004C6E69">
      <w:pPr>
        <w:pStyle w:val="TOC3"/>
        <w:tabs>
          <w:tab w:val="left" w:pos="1100"/>
          <w:tab w:val="right" w:leader="dot" w:pos="9060"/>
        </w:tabs>
        <w:rPr>
          <w:rFonts w:eastAsiaTheme="minorEastAsia" w:cstheme="minorBidi"/>
          <w:i w:val="0"/>
          <w:iCs w:val="0"/>
          <w:noProof/>
          <w:sz w:val="22"/>
          <w:szCs w:val="22"/>
          <w:lang w:eastAsia="en-GB" w:bidi="ar-SA"/>
        </w:rPr>
      </w:pPr>
      <w:hyperlink w:anchor="_Toc22650347" w:history="1">
        <w:r w:rsidR="008C4328" w:rsidRPr="00C1520D">
          <w:rPr>
            <w:rStyle w:val="Hyperlink"/>
            <w:noProof/>
          </w:rPr>
          <w:t>2.5.1</w:t>
        </w:r>
        <w:r w:rsidR="008C4328">
          <w:rPr>
            <w:rFonts w:eastAsiaTheme="minorEastAsia" w:cstheme="minorBidi"/>
            <w:i w:val="0"/>
            <w:iCs w:val="0"/>
            <w:noProof/>
            <w:sz w:val="22"/>
            <w:szCs w:val="22"/>
            <w:lang w:eastAsia="en-GB" w:bidi="ar-SA"/>
          </w:rPr>
          <w:tab/>
        </w:r>
        <w:r w:rsidR="008C4328" w:rsidRPr="00C1520D">
          <w:rPr>
            <w:rStyle w:val="Hyperlink"/>
            <w:noProof/>
          </w:rPr>
          <w:t>Section 29</w:t>
        </w:r>
        <w:r w:rsidR="008C4328">
          <w:rPr>
            <w:noProof/>
            <w:webHidden/>
          </w:rPr>
          <w:tab/>
        </w:r>
        <w:r w:rsidR="008C4328">
          <w:rPr>
            <w:noProof/>
            <w:webHidden/>
          </w:rPr>
          <w:fldChar w:fldCharType="begin"/>
        </w:r>
        <w:r w:rsidR="008C4328">
          <w:rPr>
            <w:noProof/>
            <w:webHidden/>
          </w:rPr>
          <w:instrText xml:space="preserve"> PAGEREF _Toc22650347 \h </w:instrText>
        </w:r>
        <w:r w:rsidR="008C4328">
          <w:rPr>
            <w:noProof/>
            <w:webHidden/>
          </w:rPr>
        </w:r>
        <w:r w:rsidR="008C4328">
          <w:rPr>
            <w:noProof/>
            <w:webHidden/>
          </w:rPr>
          <w:fldChar w:fldCharType="separate"/>
        </w:r>
        <w:r w:rsidR="008F04DE">
          <w:rPr>
            <w:noProof/>
            <w:webHidden/>
          </w:rPr>
          <w:t>11</w:t>
        </w:r>
        <w:r w:rsidR="008C4328">
          <w:rPr>
            <w:noProof/>
            <w:webHidden/>
          </w:rPr>
          <w:fldChar w:fldCharType="end"/>
        </w:r>
      </w:hyperlink>
    </w:p>
    <w:p w14:paraId="409F0E69" w14:textId="2EBDF7BC" w:rsidR="008C4328" w:rsidRDefault="004C6E69" w:rsidP="006E0835">
      <w:pPr>
        <w:pStyle w:val="TOC3"/>
        <w:tabs>
          <w:tab w:val="left" w:pos="1134"/>
          <w:tab w:val="right" w:leader="dot" w:pos="9060"/>
        </w:tabs>
        <w:rPr>
          <w:rFonts w:eastAsiaTheme="minorEastAsia" w:cstheme="minorBidi"/>
          <w:i w:val="0"/>
          <w:iCs w:val="0"/>
          <w:noProof/>
          <w:sz w:val="22"/>
          <w:szCs w:val="22"/>
          <w:lang w:eastAsia="en-GB" w:bidi="ar-SA"/>
        </w:rPr>
      </w:pPr>
      <w:hyperlink w:anchor="_Toc22650348" w:history="1">
        <w:r w:rsidR="008C4328" w:rsidRPr="00C1520D">
          <w:rPr>
            <w:rStyle w:val="Hyperlink"/>
            <w:noProof/>
          </w:rPr>
          <w:t>2.5.2.</w:t>
        </w:r>
        <w:r w:rsidR="008C4328">
          <w:rPr>
            <w:rFonts w:eastAsiaTheme="minorEastAsia" w:cstheme="minorBidi"/>
            <w:i w:val="0"/>
            <w:iCs w:val="0"/>
            <w:noProof/>
            <w:sz w:val="22"/>
            <w:szCs w:val="22"/>
            <w:lang w:eastAsia="en-GB" w:bidi="ar-SA"/>
          </w:rPr>
          <w:tab/>
        </w:r>
        <w:r w:rsidR="008C4328" w:rsidRPr="00C1520D">
          <w:rPr>
            <w:rStyle w:val="Hyperlink"/>
            <w:noProof/>
          </w:rPr>
          <w:t>Subsection 18(1)</w:t>
        </w:r>
        <w:r w:rsidR="008C4328">
          <w:rPr>
            <w:noProof/>
            <w:webHidden/>
          </w:rPr>
          <w:tab/>
        </w:r>
        <w:r w:rsidR="008C4328">
          <w:rPr>
            <w:noProof/>
            <w:webHidden/>
          </w:rPr>
          <w:fldChar w:fldCharType="begin"/>
        </w:r>
        <w:r w:rsidR="008C4328">
          <w:rPr>
            <w:noProof/>
            <w:webHidden/>
          </w:rPr>
          <w:instrText xml:space="preserve"> PAGEREF _Toc22650348 \h </w:instrText>
        </w:r>
        <w:r w:rsidR="008C4328">
          <w:rPr>
            <w:noProof/>
            <w:webHidden/>
          </w:rPr>
        </w:r>
        <w:r w:rsidR="008C4328">
          <w:rPr>
            <w:noProof/>
            <w:webHidden/>
          </w:rPr>
          <w:fldChar w:fldCharType="separate"/>
        </w:r>
        <w:r w:rsidR="008F04DE">
          <w:rPr>
            <w:noProof/>
            <w:webHidden/>
          </w:rPr>
          <w:t>13</w:t>
        </w:r>
        <w:r w:rsidR="008C4328">
          <w:rPr>
            <w:noProof/>
            <w:webHidden/>
          </w:rPr>
          <w:fldChar w:fldCharType="end"/>
        </w:r>
      </w:hyperlink>
    </w:p>
    <w:p w14:paraId="30F89701" w14:textId="476E3AC8" w:rsidR="008C4328" w:rsidRDefault="004C6E69">
      <w:pPr>
        <w:pStyle w:val="TOC1"/>
        <w:tabs>
          <w:tab w:val="left" w:pos="440"/>
          <w:tab w:val="right" w:leader="dot" w:pos="9060"/>
        </w:tabs>
        <w:rPr>
          <w:rFonts w:eastAsiaTheme="minorEastAsia" w:cstheme="minorBidi"/>
          <w:b w:val="0"/>
          <w:bCs w:val="0"/>
          <w:caps w:val="0"/>
          <w:noProof/>
          <w:sz w:val="22"/>
          <w:szCs w:val="22"/>
          <w:lang w:eastAsia="en-GB" w:bidi="ar-SA"/>
        </w:rPr>
      </w:pPr>
      <w:hyperlink w:anchor="_Toc22650349" w:history="1">
        <w:r w:rsidR="008C4328" w:rsidRPr="00C1520D">
          <w:rPr>
            <w:rStyle w:val="Hyperlink"/>
            <w:noProof/>
          </w:rPr>
          <w:t>3</w:t>
        </w:r>
        <w:r w:rsidR="008C4328">
          <w:rPr>
            <w:rFonts w:eastAsiaTheme="minorEastAsia" w:cstheme="minorBidi"/>
            <w:b w:val="0"/>
            <w:bCs w:val="0"/>
            <w:caps w:val="0"/>
            <w:noProof/>
            <w:sz w:val="22"/>
            <w:szCs w:val="22"/>
            <w:lang w:eastAsia="en-GB" w:bidi="ar-SA"/>
          </w:rPr>
          <w:tab/>
        </w:r>
        <w:r w:rsidR="008C4328" w:rsidRPr="00C1520D">
          <w:rPr>
            <w:rStyle w:val="Hyperlink"/>
            <w:noProof/>
          </w:rPr>
          <w:t>References</w:t>
        </w:r>
        <w:r w:rsidR="008C4328">
          <w:rPr>
            <w:noProof/>
            <w:webHidden/>
          </w:rPr>
          <w:tab/>
        </w:r>
        <w:r w:rsidR="008C4328">
          <w:rPr>
            <w:noProof/>
            <w:webHidden/>
          </w:rPr>
          <w:fldChar w:fldCharType="begin"/>
        </w:r>
        <w:r w:rsidR="008C4328">
          <w:rPr>
            <w:noProof/>
            <w:webHidden/>
          </w:rPr>
          <w:instrText xml:space="preserve"> PAGEREF _Toc22650349 \h </w:instrText>
        </w:r>
        <w:r w:rsidR="008C4328">
          <w:rPr>
            <w:noProof/>
            <w:webHidden/>
          </w:rPr>
        </w:r>
        <w:r w:rsidR="008C4328">
          <w:rPr>
            <w:noProof/>
            <w:webHidden/>
          </w:rPr>
          <w:fldChar w:fldCharType="separate"/>
        </w:r>
        <w:r w:rsidR="008F04DE">
          <w:rPr>
            <w:noProof/>
            <w:webHidden/>
          </w:rPr>
          <w:t>15</w:t>
        </w:r>
        <w:r w:rsidR="008C4328">
          <w:rPr>
            <w:noProof/>
            <w:webHidden/>
          </w:rPr>
          <w:fldChar w:fldCharType="end"/>
        </w:r>
      </w:hyperlink>
    </w:p>
    <w:p w14:paraId="4BC5D86E" w14:textId="0F74621E" w:rsidR="008C4328" w:rsidRDefault="004C6E69">
      <w:pPr>
        <w:pStyle w:val="TOC2"/>
        <w:tabs>
          <w:tab w:val="right" w:leader="dot" w:pos="9060"/>
        </w:tabs>
        <w:rPr>
          <w:rFonts w:eastAsiaTheme="minorEastAsia" w:cstheme="minorBidi"/>
          <w:smallCaps w:val="0"/>
          <w:noProof/>
          <w:sz w:val="22"/>
          <w:szCs w:val="22"/>
          <w:lang w:eastAsia="en-GB" w:bidi="ar-SA"/>
        </w:rPr>
      </w:pPr>
      <w:hyperlink w:anchor="_Toc22650350" w:history="1">
        <w:r w:rsidR="008C4328" w:rsidRPr="00C1520D">
          <w:rPr>
            <w:rStyle w:val="Hyperlink"/>
            <w:noProof/>
          </w:rPr>
          <w:t xml:space="preserve">Attachment A – Approved draft variations to the </w:t>
        </w:r>
        <w:r w:rsidR="008C4328" w:rsidRPr="00C1520D">
          <w:rPr>
            <w:rStyle w:val="Hyperlink"/>
            <w:i/>
            <w:noProof/>
          </w:rPr>
          <w:t>Australia New Zealand Food Standards Code</w:t>
        </w:r>
        <w:r w:rsidR="008C4328">
          <w:rPr>
            <w:noProof/>
            <w:webHidden/>
          </w:rPr>
          <w:tab/>
        </w:r>
        <w:r w:rsidR="008C4328">
          <w:rPr>
            <w:noProof/>
            <w:webHidden/>
          </w:rPr>
          <w:fldChar w:fldCharType="begin"/>
        </w:r>
        <w:r w:rsidR="008C4328">
          <w:rPr>
            <w:noProof/>
            <w:webHidden/>
          </w:rPr>
          <w:instrText xml:space="preserve"> PAGEREF _Toc22650350 \h </w:instrText>
        </w:r>
        <w:r w:rsidR="008C4328">
          <w:rPr>
            <w:noProof/>
            <w:webHidden/>
          </w:rPr>
        </w:r>
        <w:r w:rsidR="008C4328">
          <w:rPr>
            <w:noProof/>
            <w:webHidden/>
          </w:rPr>
          <w:fldChar w:fldCharType="separate"/>
        </w:r>
        <w:r w:rsidR="008F04DE">
          <w:rPr>
            <w:noProof/>
            <w:webHidden/>
          </w:rPr>
          <w:t>19</w:t>
        </w:r>
        <w:r w:rsidR="008C4328">
          <w:rPr>
            <w:noProof/>
            <w:webHidden/>
          </w:rPr>
          <w:fldChar w:fldCharType="end"/>
        </w:r>
      </w:hyperlink>
    </w:p>
    <w:p w14:paraId="000CD05A" w14:textId="29AC9A1E" w:rsidR="008C4328" w:rsidRDefault="004C6E69">
      <w:pPr>
        <w:pStyle w:val="TOC2"/>
        <w:tabs>
          <w:tab w:val="right" w:leader="dot" w:pos="9060"/>
        </w:tabs>
        <w:rPr>
          <w:rFonts w:eastAsiaTheme="minorEastAsia" w:cstheme="minorBidi"/>
          <w:smallCaps w:val="0"/>
          <w:noProof/>
          <w:sz w:val="22"/>
          <w:szCs w:val="22"/>
          <w:lang w:eastAsia="en-GB" w:bidi="ar-SA"/>
        </w:rPr>
      </w:pPr>
      <w:hyperlink w:anchor="_Toc22650351" w:history="1">
        <w:r w:rsidR="008C4328" w:rsidRPr="00C1520D">
          <w:rPr>
            <w:rStyle w:val="Hyperlink"/>
            <w:noProof/>
          </w:rPr>
          <w:t>Attachment B – Draft Explanatory Statement</w:t>
        </w:r>
        <w:r w:rsidR="008C4328">
          <w:rPr>
            <w:noProof/>
            <w:webHidden/>
          </w:rPr>
          <w:tab/>
        </w:r>
        <w:r w:rsidR="008C4328">
          <w:rPr>
            <w:noProof/>
            <w:webHidden/>
          </w:rPr>
          <w:fldChar w:fldCharType="begin"/>
        </w:r>
        <w:r w:rsidR="008C4328">
          <w:rPr>
            <w:noProof/>
            <w:webHidden/>
          </w:rPr>
          <w:instrText xml:space="preserve"> PAGEREF _Toc22650351 \h </w:instrText>
        </w:r>
        <w:r w:rsidR="008C4328">
          <w:rPr>
            <w:noProof/>
            <w:webHidden/>
          </w:rPr>
        </w:r>
        <w:r w:rsidR="008C4328">
          <w:rPr>
            <w:noProof/>
            <w:webHidden/>
          </w:rPr>
          <w:fldChar w:fldCharType="separate"/>
        </w:r>
        <w:r w:rsidR="008F04DE">
          <w:rPr>
            <w:noProof/>
            <w:webHidden/>
          </w:rPr>
          <w:t>25</w:t>
        </w:r>
        <w:r w:rsidR="008C4328">
          <w:rPr>
            <w:noProof/>
            <w:webHidden/>
          </w:rPr>
          <w:fldChar w:fldCharType="end"/>
        </w:r>
      </w:hyperlink>
    </w:p>
    <w:p w14:paraId="6B6DC5D3" w14:textId="71CF1874" w:rsidR="0012388D" w:rsidRDefault="00B55714" w:rsidP="00C91C02">
      <w:r w:rsidRPr="00346622">
        <w:rPr>
          <w:rFonts w:cs="Arial"/>
          <w:sz w:val="20"/>
          <w:szCs w:val="20"/>
        </w:rPr>
        <w:fldChar w:fldCharType="end"/>
      </w:r>
    </w:p>
    <w:p w14:paraId="6D4B2776" w14:textId="77777777" w:rsidR="007F7BF7" w:rsidRDefault="007F7BF7" w:rsidP="00CA5734"/>
    <w:p w14:paraId="7735C4C9" w14:textId="77777777" w:rsidR="00A671E6" w:rsidRPr="000B427A" w:rsidRDefault="00A671E6" w:rsidP="00A671E6">
      <w:pPr>
        <w:rPr>
          <w:b/>
          <w:bCs/>
        </w:rPr>
      </w:pPr>
      <w:r w:rsidRPr="000B427A">
        <w:rPr>
          <w:b/>
          <w:bCs/>
        </w:rPr>
        <w:lastRenderedPageBreak/>
        <w:t>S</w:t>
      </w:r>
      <w:r w:rsidR="007C22CB" w:rsidRPr="000B427A">
        <w:rPr>
          <w:b/>
          <w:bCs/>
        </w:rPr>
        <w:t>upporting</w:t>
      </w:r>
      <w:r w:rsidR="00224E3B" w:rsidRPr="000B427A">
        <w:rPr>
          <w:b/>
          <w:bCs/>
        </w:rPr>
        <w:t xml:space="preserve"> documen</w:t>
      </w:r>
      <w:r w:rsidR="00224E3B" w:rsidRPr="000B427A">
        <w:rPr>
          <w:b/>
        </w:rPr>
        <w:t>t</w:t>
      </w:r>
      <w:r w:rsidR="00224E3B" w:rsidRPr="00A36FFC">
        <w:rPr>
          <w:b/>
          <w:bCs/>
        </w:rPr>
        <w:t>s</w:t>
      </w:r>
      <w:r w:rsidRPr="000B427A">
        <w:rPr>
          <w:b/>
        </w:rPr>
        <w:t xml:space="preserve"> </w:t>
      </w:r>
    </w:p>
    <w:p w14:paraId="64CB5B03" w14:textId="77777777" w:rsidR="00A671E6" w:rsidRPr="0089264A" w:rsidRDefault="00A671E6" w:rsidP="00A671E6">
      <w:pPr>
        <w:rPr>
          <w:szCs w:val="22"/>
        </w:rPr>
      </w:pPr>
    </w:p>
    <w:p w14:paraId="686F7600" w14:textId="4B55B127" w:rsidR="007A53BF" w:rsidRPr="0089264A" w:rsidRDefault="007A53BF" w:rsidP="007A53BF">
      <w:pPr>
        <w:rPr>
          <w:color w:val="FF0000"/>
          <w:szCs w:val="22"/>
        </w:rPr>
      </w:pPr>
      <w:r w:rsidRPr="0089264A">
        <w:rPr>
          <w:szCs w:val="22"/>
        </w:rPr>
        <w:t xml:space="preserve">The </w:t>
      </w:r>
      <w:hyperlink r:id="rId18" w:history="1">
        <w:r w:rsidRPr="00A5159F">
          <w:rPr>
            <w:rStyle w:val="Hyperlink"/>
            <w:szCs w:val="22"/>
          </w:rPr>
          <w:t>following documents</w:t>
        </w:r>
      </w:hyperlink>
      <w:r w:rsidRPr="0089264A">
        <w:rPr>
          <w:szCs w:val="22"/>
        </w:rPr>
        <w:t xml:space="preserve"> </w:t>
      </w:r>
      <w:r>
        <w:rPr>
          <w:szCs w:val="22"/>
        </w:rPr>
        <w:t xml:space="preserve">which informed the assessment of </w:t>
      </w:r>
      <w:r w:rsidRPr="00A5159F">
        <w:rPr>
          <w:szCs w:val="22"/>
        </w:rPr>
        <w:t xml:space="preserve">this Application are available </w:t>
      </w:r>
      <w:r w:rsidRPr="0089264A">
        <w:rPr>
          <w:szCs w:val="22"/>
        </w:rPr>
        <w:t>on the FSANZ website</w:t>
      </w:r>
      <w:r w:rsidR="00FF3E26">
        <w:rPr>
          <w:szCs w:val="22"/>
        </w:rPr>
        <w:t>:</w:t>
      </w:r>
    </w:p>
    <w:p w14:paraId="170EDE21" w14:textId="5D8C549E" w:rsidR="007A53BF" w:rsidRPr="00C6310F" w:rsidRDefault="00C6310F" w:rsidP="007A53BF">
      <w:pPr>
        <w:rPr>
          <w:rStyle w:val="Hyperlink"/>
          <w:szCs w:val="22"/>
        </w:rPr>
      </w:pPr>
      <w:r>
        <w:rPr>
          <w:szCs w:val="22"/>
        </w:rPr>
        <w:fldChar w:fldCharType="begin"/>
      </w:r>
      <w:r>
        <w:rPr>
          <w:szCs w:val="22"/>
        </w:rPr>
        <w:instrText xml:space="preserve"> HYPERLINK "https://www.foodstandards.gov.au/code/applications/Pages/A1155–2’-FL-and-LNnT-in-infant-formula-and-other-products-.aspx" </w:instrText>
      </w:r>
      <w:r>
        <w:rPr>
          <w:szCs w:val="22"/>
        </w:rPr>
        <w:fldChar w:fldCharType="separate"/>
      </w:r>
    </w:p>
    <w:p w14:paraId="6F3F4794" w14:textId="5E31B56D" w:rsidR="00C6310F" w:rsidRPr="0089264A" w:rsidRDefault="00C6310F" w:rsidP="007A53BF">
      <w:pPr>
        <w:rPr>
          <w:szCs w:val="22"/>
        </w:rPr>
      </w:pPr>
      <w:r w:rsidRPr="00C6310F">
        <w:rPr>
          <w:rStyle w:val="Hyperlink"/>
          <w:szCs w:val="22"/>
        </w:rPr>
        <w:t>SD1</w:t>
      </w:r>
      <w:r w:rsidRPr="00C6310F">
        <w:rPr>
          <w:rStyle w:val="Hyperlink"/>
          <w:szCs w:val="22"/>
        </w:rPr>
        <w:tab/>
      </w:r>
      <w:r w:rsidRPr="00C6310F">
        <w:rPr>
          <w:rStyle w:val="Hyperlink"/>
          <w:szCs w:val="22"/>
        </w:rPr>
        <w:tab/>
        <w:t>Health effect</w:t>
      </w:r>
      <w:r w:rsidR="004F4F6E">
        <w:rPr>
          <w:rStyle w:val="Hyperlink"/>
          <w:szCs w:val="22"/>
        </w:rPr>
        <w:t>s</w:t>
      </w:r>
      <w:r w:rsidRPr="00C6310F">
        <w:rPr>
          <w:rStyle w:val="Hyperlink"/>
          <w:szCs w:val="22"/>
        </w:rPr>
        <w:t xml:space="preserve"> assessment (at Approval)</w:t>
      </w:r>
      <w:r>
        <w:rPr>
          <w:szCs w:val="22"/>
        </w:rPr>
        <w:fldChar w:fldCharType="end"/>
      </w:r>
      <w:r>
        <w:rPr>
          <w:szCs w:val="22"/>
        </w:rPr>
        <w:t xml:space="preserve"> </w:t>
      </w:r>
    </w:p>
    <w:p w14:paraId="6030CCED" w14:textId="01CC85E5" w:rsidR="00C6310F" w:rsidRPr="00A5159F" w:rsidRDefault="004C6E69" w:rsidP="00C6310F">
      <w:pPr>
        <w:ind w:left="1134" w:hanging="1134"/>
      </w:pPr>
      <w:hyperlink r:id="rId19" w:history="1">
        <w:r w:rsidR="00C6310F" w:rsidRPr="00C6310F">
          <w:rPr>
            <w:rStyle w:val="Hyperlink"/>
          </w:rPr>
          <w:t xml:space="preserve">SD2 </w:t>
        </w:r>
        <w:r w:rsidR="00C6310F" w:rsidRPr="00C6310F">
          <w:rPr>
            <w:rStyle w:val="Hyperlink"/>
          </w:rPr>
          <w:tab/>
          <w:t>Policy Guidelines (at Approval)</w:t>
        </w:r>
      </w:hyperlink>
      <w:r w:rsidR="00C6310F" w:rsidRPr="00A5159F">
        <w:t xml:space="preserve"> </w:t>
      </w:r>
    </w:p>
    <w:p w14:paraId="306C62B1" w14:textId="7CEE62EC" w:rsidR="007A53BF" w:rsidRPr="00A5159F" w:rsidRDefault="004C6E69" w:rsidP="007A53BF">
      <w:pPr>
        <w:ind w:left="1134" w:hanging="1134"/>
      </w:pPr>
      <w:hyperlink r:id="rId20" w:history="1">
        <w:r w:rsidR="007A53BF" w:rsidRPr="00DA377F">
          <w:rPr>
            <w:rStyle w:val="Hyperlink"/>
          </w:rPr>
          <w:t>SD1</w:t>
        </w:r>
        <w:r w:rsidR="007A53BF" w:rsidRPr="00DA377F">
          <w:rPr>
            <w:rStyle w:val="Hyperlink"/>
          </w:rPr>
          <w:tab/>
        </w:r>
        <w:r w:rsidR="00DA377F" w:rsidRPr="00DA377F">
          <w:rPr>
            <w:rStyle w:val="Hyperlink"/>
          </w:rPr>
          <w:t xml:space="preserve">Risk Assessment </w:t>
        </w:r>
        <w:r w:rsidR="006C116D" w:rsidRPr="00DA377F">
          <w:rPr>
            <w:rStyle w:val="Hyperlink"/>
          </w:rPr>
          <w:t xml:space="preserve">(at </w:t>
        </w:r>
        <w:r w:rsidR="00BC354D" w:rsidRPr="00DA377F">
          <w:rPr>
            <w:rStyle w:val="Hyperlink"/>
          </w:rPr>
          <w:t>2</w:t>
        </w:r>
        <w:r w:rsidR="00BC354D" w:rsidRPr="00DA377F">
          <w:rPr>
            <w:rStyle w:val="Hyperlink"/>
            <w:vertAlign w:val="superscript"/>
          </w:rPr>
          <w:t>nd</w:t>
        </w:r>
        <w:r w:rsidR="00A5159F" w:rsidRPr="00DA377F">
          <w:rPr>
            <w:rStyle w:val="Hyperlink"/>
          </w:rPr>
          <w:t xml:space="preserve"> CFS</w:t>
        </w:r>
        <w:r w:rsidR="006C116D" w:rsidRPr="00DA377F">
          <w:rPr>
            <w:rStyle w:val="Hyperlink"/>
          </w:rPr>
          <w:t>)</w:t>
        </w:r>
      </w:hyperlink>
    </w:p>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22303653"/>
      <w:bookmarkStart w:id="5" w:name="_Toc22650316"/>
      <w:bookmarkStart w:id="6" w:name="_Toc11735627"/>
      <w:bookmarkStart w:id="7" w:name="_Toc29883110"/>
      <w:bookmarkStart w:id="8" w:name="_Toc41906797"/>
      <w:bookmarkStart w:id="9" w:name="_Toc41907544"/>
      <w:bookmarkStart w:id="10" w:name="_Toc120358575"/>
      <w:r w:rsidRPr="007A53BF">
        <w:t>Executive summary</w:t>
      </w:r>
      <w:bookmarkEnd w:id="1"/>
      <w:bookmarkEnd w:id="2"/>
      <w:bookmarkEnd w:id="3"/>
      <w:bookmarkEnd w:id="4"/>
      <w:bookmarkEnd w:id="5"/>
    </w:p>
    <w:p w14:paraId="44F7403C" w14:textId="0E7A2DF3" w:rsidR="000012D2" w:rsidRDefault="000012D2" w:rsidP="000012D2">
      <w:pPr>
        <w:rPr>
          <w:szCs w:val="22"/>
        </w:rPr>
      </w:pPr>
      <w:r w:rsidRPr="00FC4BFC">
        <w:t>Glycom</w:t>
      </w:r>
      <w:r>
        <w:t xml:space="preserve"> A/S applied to amend the</w:t>
      </w:r>
      <w:r w:rsidRPr="002A7881">
        <w:rPr>
          <w:rFonts w:cs="Arial"/>
        </w:rPr>
        <w:t xml:space="preserve"> Australia New Zealand Food Standards Code (the Code)</w:t>
      </w:r>
      <w:r>
        <w:rPr>
          <w:rFonts w:cs="Arial"/>
        </w:rPr>
        <w:t xml:space="preserve"> to permit the </w:t>
      </w:r>
      <w:r w:rsidRPr="00FC4BFC">
        <w:t xml:space="preserve">voluntary addition of </w:t>
      </w:r>
      <w:r w:rsidRPr="0052465A">
        <w:rPr>
          <w:szCs w:val="22"/>
        </w:rPr>
        <w:t xml:space="preserve">2′-O-fucosyllactose </w:t>
      </w:r>
      <w:r>
        <w:rPr>
          <w:szCs w:val="22"/>
        </w:rPr>
        <w:t>(</w:t>
      </w:r>
      <w:r w:rsidRPr="00FC4BFC">
        <w:t>2′-FL</w:t>
      </w:r>
      <w:r>
        <w:t>)</w:t>
      </w:r>
      <w:r w:rsidRPr="00FC4BFC">
        <w:t xml:space="preserve">, either alone or in combination with </w:t>
      </w:r>
      <w:r w:rsidRPr="0052465A">
        <w:rPr>
          <w:szCs w:val="22"/>
        </w:rPr>
        <w:t xml:space="preserve">Lacto-N-neotetraose </w:t>
      </w:r>
      <w:r>
        <w:rPr>
          <w:szCs w:val="22"/>
        </w:rPr>
        <w:t>(</w:t>
      </w:r>
      <w:r w:rsidRPr="00FC4BFC">
        <w:t>LNnT</w:t>
      </w:r>
      <w:r>
        <w:t>)</w:t>
      </w:r>
      <w:r w:rsidRPr="00FC4BFC">
        <w:t xml:space="preserve"> to infant formula products</w:t>
      </w:r>
      <w:r>
        <w:t xml:space="preserve"> (IFP)</w:t>
      </w:r>
      <w:r w:rsidRPr="00FC4BFC">
        <w:t xml:space="preserve"> and </w:t>
      </w:r>
      <w:r>
        <w:t>formulated supplementary foods for young children (</w:t>
      </w:r>
      <w:r w:rsidRPr="00FC4BFC">
        <w:t>FSFYC</w:t>
      </w:r>
      <w:r>
        <w:t>)</w:t>
      </w:r>
      <w:r w:rsidRPr="00FC4BFC">
        <w:t xml:space="preserve">. </w:t>
      </w:r>
      <w:r>
        <w:rPr>
          <w:szCs w:val="22"/>
        </w:rPr>
        <w:t>The a</w:t>
      </w:r>
      <w:r w:rsidRPr="00F151B9">
        <w:rPr>
          <w:szCs w:val="22"/>
        </w:rPr>
        <w:t xml:space="preserve">pplication </w:t>
      </w:r>
      <w:r>
        <w:rPr>
          <w:szCs w:val="22"/>
        </w:rPr>
        <w:t>sought</w:t>
      </w:r>
      <w:r w:rsidRPr="00F151B9">
        <w:rPr>
          <w:szCs w:val="22"/>
        </w:rPr>
        <w:t xml:space="preserve"> to include 2</w:t>
      </w:r>
      <w:r>
        <w:rPr>
          <w:szCs w:val="22"/>
        </w:rPr>
        <w:t>′</w:t>
      </w:r>
      <w:r w:rsidRPr="00F151B9">
        <w:rPr>
          <w:szCs w:val="22"/>
        </w:rPr>
        <w:t xml:space="preserve">-FL and LNnT </w:t>
      </w:r>
      <w:r>
        <w:rPr>
          <w:szCs w:val="22"/>
        </w:rPr>
        <w:t xml:space="preserve">as novel foods </w:t>
      </w:r>
      <w:r w:rsidRPr="00F151B9">
        <w:rPr>
          <w:szCs w:val="22"/>
        </w:rPr>
        <w:t>in the table to S25</w:t>
      </w:r>
      <w:r w:rsidRPr="00F151B9">
        <w:t>—</w:t>
      </w:r>
      <w:r w:rsidRPr="00F151B9">
        <w:rPr>
          <w:szCs w:val="22"/>
        </w:rPr>
        <w:t>2 of Schedule 25 (P</w:t>
      </w:r>
      <w:r>
        <w:rPr>
          <w:szCs w:val="22"/>
        </w:rPr>
        <w:t xml:space="preserve">ermitted novel foods) and </w:t>
      </w:r>
      <w:r w:rsidR="0074143D">
        <w:rPr>
          <w:szCs w:val="22"/>
        </w:rPr>
        <w:t xml:space="preserve">also </w:t>
      </w:r>
      <w:r>
        <w:rPr>
          <w:szCs w:val="22"/>
        </w:rPr>
        <w:t>noted amendments to Standard 2.9.1 (Infant formula products), Standard 2.9.3, Division 4 (Formulated supplementary foods for young children) and Schedule 3 (Identity and purity) may be required.</w:t>
      </w:r>
      <w:r w:rsidRPr="00DE2D85">
        <w:rPr>
          <w:szCs w:val="22"/>
        </w:rPr>
        <w:t xml:space="preserve"> </w:t>
      </w:r>
      <w:r>
        <w:rPr>
          <w:szCs w:val="22"/>
        </w:rPr>
        <w:t xml:space="preserve">The applicant also requested exclusive permission for their brand of 2′-FL and LNnT for a period of </w:t>
      </w:r>
      <w:r w:rsidRPr="0074044B">
        <w:rPr>
          <w:szCs w:val="22"/>
        </w:rPr>
        <w:t>15 months</w:t>
      </w:r>
      <w:r>
        <w:rPr>
          <w:szCs w:val="22"/>
        </w:rPr>
        <w:t xml:space="preserve"> after gazettal.</w:t>
      </w:r>
    </w:p>
    <w:p w14:paraId="5C680D72" w14:textId="77777777" w:rsidR="000012D2" w:rsidRDefault="000012D2" w:rsidP="000012D2"/>
    <w:p w14:paraId="1ED8B91D" w14:textId="7F6C1E7C" w:rsidR="000012D2" w:rsidRDefault="000012D2" w:rsidP="000012D2">
      <w:r>
        <w:rPr>
          <w:noProof/>
          <w:lang w:eastAsia="en-GB" w:bidi="ar-SA"/>
        </w:rPr>
        <mc:AlternateContent>
          <mc:Choice Requires="wps">
            <w:drawing>
              <wp:anchor distT="45720" distB="45720" distL="114300" distR="114300" simplePos="0" relativeHeight="251658241" behindDoc="0" locked="0" layoutInCell="1" allowOverlap="1" wp14:anchorId="4DF35A1D" wp14:editId="0BD4EF64">
                <wp:simplePos x="0" y="0"/>
                <wp:positionH relativeFrom="margin">
                  <wp:align>right</wp:align>
                </wp:positionH>
                <wp:positionV relativeFrom="paragraph">
                  <wp:posOffset>10984</wp:posOffset>
                </wp:positionV>
                <wp:extent cx="2066290" cy="1548130"/>
                <wp:effectExtent l="0" t="0" r="1016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1548130"/>
                        </a:xfrm>
                        <a:prstGeom prst="rect">
                          <a:avLst/>
                        </a:prstGeom>
                        <a:solidFill>
                          <a:srgbClr val="FFFFFF"/>
                        </a:solidFill>
                        <a:ln w="9525">
                          <a:solidFill>
                            <a:srgbClr val="000000"/>
                          </a:solidFill>
                          <a:miter lim="800000"/>
                          <a:headEnd/>
                          <a:tailEnd/>
                        </a:ln>
                      </wps:spPr>
                      <wps:txbx>
                        <w:txbxContent>
                          <w:p w14:paraId="59EBF795" w14:textId="77777777" w:rsidR="0073117A" w:rsidRPr="00284E07" w:rsidRDefault="0073117A" w:rsidP="000012D2">
                            <w:pPr>
                              <w:jc w:val="center"/>
                            </w:pPr>
                            <w:r w:rsidRPr="00284E07">
                              <w:t xml:space="preserve">FSANZ concluded that </w:t>
                            </w:r>
                            <w:r w:rsidRPr="00284E07">
                              <w:rPr>
                                <w:lang w:val="en-AU"/>
                              </w:rPr>
                              <w:t>there are no public health and safety concerns associated with adding the applicant’s 2′-FL and LNnT to infant formula products and FSFYC at the permitted levels.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F35A1D" id="_x0000_t202" coordsize="21600,21600" o:spt="202" path="m,l,21600r21600,l21600,xe">
                <v:stroke joinstyle="miter"/>
                <v:path gradientshapeok="t" o:connecttype="rect"/>
              </v:shapetype>
              <v:shape id="Text Box 2" o:spid="_x0000_s1026" type="#_x0000_t202" style="position:absolute;margin-left:111.5pt;margin-top:.85pt;width:162.7pt;height:121.9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">
                <v:textbox>
                  <w:txbxContent>
                    <w:p w14:paraId="59EBF795" w14:textId="77777777" w:rsidR="0073117A" w:rsidRPr="00284E07" w:rsidRDefault="0073117A" w:rsidP="000012D2">
                      <w:pPr>
                        <w:jc w:val="center"/>
                      </w:pPr>
                      <w:r w:rsidRPr="00284E07">
                        <w:t xml:space="preserve">FSANZ concluded that </w:t>
                      </w:r>
                      <w:r w:rsidRPr="00284E07">
                        <w:rPr>
                          <w:lang w:val="en-AU"/>
                        </w:rPr>
                        <w:t>there are no public health and safety concerns associated with adding the applicant’s 2′-FL and LNnT to infant formula products and FSFYC at the permitted levels.</w:t>
                      </w:r>
                    </w:p>
                  </w:txbxContent>
                </v:textbox>
                <w10:wrap type="square" anchorx="margin"/>
              </v:shape>
            </w:pict>
          </mc:Fallback>
        </mc:AlternateContent>
      </w:r>
      <w:r w:rsidRPr="00FC4BFC">
        <w:t xml:space="preserve">The </w:t>
      </w:r>
      <w:r>
        <w:t>two</w:t>
      </w:r>
      <w:r w:rsidRPr="00FC4BFC">
        <w:t xml:space="preserve"> oligosaccharides </w:t>
      </w:r>
      <w:r>
        <w:t xml:space="preserve">are found in human milk and have been identically produced </w:t>
      </w:r>
      <w:r>
        <w:rPr>
          <w:szCs w:val="22"/>
        </w:rPr>
        <w:t xml:space="preserve">by microbial </w:t>
      </w:r>
      <w:r w:rsidRPr="007B3A47">
        <w:rPr>
          <w:szCs w:val="22"/>
        </w:rPr>
        <w:t xml:space="preserve">fermentation </w:t>
      </w:r>
      <w:r>
        <w:rPr>
          <w:szCs w:val="22"/>
        </w:rPr>
        <w:t xml:space="preserve">from </w:t>
      </w:r>
      <w:r w:rsidRPr="00E468C2">
        <w:rPr>
          <w:szCs w:val="22"/>
        </w:rPr>
        <w:t>genetically modified (GM</w:t>
      </w:r>
      <w:r w:rsidRPr="002526D1">
        <w:rPr>
          <w:szCs w:val="22"/>
        </w:rPr>
        <w:t xml:space="preserve">) </w:t>
      </w:r>
      <w:r w:rsidRPr="001441C1">
        <w:rPr>
          <w:i/>
        </w:rPr>
        <w:t>Escherichia coli</w:t>
      </w:r>
      <w:r w:rsidRPr="001441C1">
        <w:t xml:space="preserve"> </w:t>
      </w:r>
      <w:r>
        <w:t xml:space="preserve">K12 production strains </w:t>
      </w:r>
      <w:r w:rsidRPr="00F74F4E">
        <w:t>SCR6</w:t>
      </w:r>
      <w:r>
        <w:t xml:space="preserve"> and MP572, respectively. </w:t>
      </w:r>
      <w:r w:rsidRPr="00D470DD">
        <w:rPr>
          <w:rFonts w:cs="Arial"/>
        </w:rPr>
        <w:t xml:space="preserve">Several countries in Europe, Asia and the Americas permit the addition of </w:t>
      </w:r>
      <w:r w:rsidRPr="00D470DD">
        <w:rPr>
          <w:szCs w:val="22"/>
        </w:rPr>
        <w:t>2′-FL and LNnT</w:t>
      </w:r>
      <w:r w:rsidRPr="00D470DD">
        <w:rPr>
          <w:rFonts w:cs="Arial"/>
        </w:rPr>
        <w:t xml:space="preserve"> to a range of foods including infant formula products and formulated supplementary foods for young children.</w:t>
      </w:r>
      <w:r>
        <w:rPr>
          <w:rFonts w:cs="Arial"/>
        </w:rPr>
        <w:t xml:space="preserve"> </w:t>
      </w:r>
    </w:p>
    <w:p w14:paraId="7B425A2F" w14:textId="77777777" w:rsidR="000012D2" w:rsidRDefault="000012D2" w:rsidP="000012D2"/>
    <w:p w14:paraId="3B8AB64F" w14:textId="3D8309A6" w:rsidR="000012D2" w:rsidRDefault="000012D2" w:rsidP="000012D2">
      <w:r>
        <w:t>The purpose for adding 2</w:t>
      </w:r>
      <w:r w:rsidRPr="00FC4BFC">
        <w:t>′-FL</w:t>
      </w:r>
      <w:r>
        <w:t xml:space="preserve"> and</w:t>
      </w:r>
      <w:r w:rsidRPr="00FC4BFC">
        <w:t xml:space="preserve"> LNnT</w:t>
      </w:r>
      <w:r>
        <w:t xml:space="preserve"> was to create products that better reflect the oligosaccharide profile of human milk. In addition, </w:t>
      </w:r>
      <w:r w:rsidRPr="00A12516">
        <w:t>the</w:t>
      </w:r>
      <w:r>
        <w:t xml:space="preserve"> substances are </w:t>
      </w:r>
      <w:r w:rsidR="0074143D">
        <w:t xml:space="preserve">claimed </w:t>
      </w:r>
      <w:r>
        <w:t xml:space="preserve">to: exert bifidogenic effects, </w:t>
      </w:r>
      <w:r w:rsidRPr="00A12516">
        <w:t>adhere to pathogens</w:t>
      </w:r>
      <w:r>
        <w:t xml:space="preserve"> in the gut with anti-infective benefits, </w:t>
      </w:r>
      <w:r w:rsidR="0074143D">
        <w:t xml:space="preserve">provide </w:t>
      </w:r>
      <w:r>
        <w:t xml:space="preserve">immune modulation, improved intestinal barrier function and alleviation of allergic responses. </w:t>
      </w:r>
    </w:p>
    <w:p w14:paraId="5380CAA4" w14:textId="77777777" w:rsidR="000012D2" w:rsidRDefault="000012D2" w:rsidP="000012D2"/>
    <w:p w14:paraId="481EBAA4" w14:textId="0B364044" w:rsidR="00DD5695" w:rsidRDefault="000012D2" w:rsidP="000012D2">
      <w:pPr>
        <w:rPr>
          <w:lang w:val="en-AU"/>
        </w:rPr>
      </w:pPr>
      <w:r>
        <w:rPr>
          <w:rFonts w:cs="Arial"/>
        </w:rPr>
        <w:t xml:space="preserve">FSANZ undertook a comprehensive safety, technical and health effects </w:t>
      </w:r>
      <w:r w:rsidRPr="002A7881">
        <w:rPr>
          <w:rFonts w:cs="Arial"/>
        </w:rPr>
        <w:t>assessment</w:t>
      </w:r>
      <w:r>
        <w:rPr>
          <w:rFonts w:cs="Arial"/>
        </w:rPr>
        <w:t>. T</w:t>
      </w:r>
      <w:r w:rsidR="0074143D">
        <w:rPr>
          <w:rFonts w:cs="Arial"/>
        </w:rPr>
        <w:t>his</w:t>
      </w:r>
      <w:r>
        <w:rPr>
          <w:rFonts w:cs="Arial"/>
        </w:rPr>
        <w:t xml:space="preserve"> assessment considered two maximum use levels for </w:t>
      </w:r>
      <w:r>
        <w:rPr>
          <w:lang w:val="en-AU"/>
        </w:rPr>
        <w:t xml:space="preserve">2′-FL: </w:t>
      </w:r>
      <w:r>
        <w:rPr>
          <w:rFonts w:cs="Arial"/>
        </w:rPr>
        <w:t xml:space="preserve">the applicant’s request of 1.2 g/L, and a </w:t>
      </w:r>
      <w:r>
        <w:rPr>
          <w:lang w:val="en-AU"/>
        </w:rPr>
        <w:t xml:space="preserve">higher level of 2.4 g/L consistent with average levels in human milk. </w:t>
      </w:r>
      <w:r w:rsidR="00675ABD">
        <w:rPr>
          <w:lang w:val="en-AU"/>
        </w:rPr>
        <w:t xml:space="preserve">When combined with </w:t>
      </w:r>
      <w:r w:rsidR="0074143D">
        <w:rPr>
          <w:lang w:val="en-AU"/>
        </w:rPr>
        <w:t xml:space="preserve">maximum </w:t>
      </w:r>
      <w:r w:rsidR="00DD5695">
        <w:rPr>
          <w:lang w:val="en-AU"/>
        </w:rPr>
        <w:t xml:space="preserve">0.6 g/L </w:t>
      </w:r>
      <w:r w:rsidR="00675ABD">
        <w:rPr>
          <w:lang w:val="en-AU"/>
        </w:rPr>
        <w:t xml:space="preserve">LNnT, these </w:t>
      </w:r>
      <w:r w:rsidR="0074143D">
        <w:rPr>
          <w:lang w:val="en-AU"/>
        </w:rPr>
        <w:t xml:space="preserve">respective </w:t>
      </w:r>
      <w:r w:rsidR="00675ABD">
        <w:rPr>
          <w:lang w:val="en-AU"/>
        </w:rPr>
        <w:t xml:space="preserve">use levels </w:t>
      </w:r>
      <w:r w:rsidR="0074143D">
        <w:rPr>
          <w:lang w:val="en-AU"/>
        </w:rPr>
        <w:t>are</w:t>
      </w:r>
      <w:r w:rsidR="00DD5695">
        <w:rPr>
          <w:lang w:val="en-AU"/>
        </w:rPr>
        <w:t xml:space="preserve"> </w:t>
      </w:r>
      <w:r w:rsidR="00675ABD">
        <w:rPr>
          <w:lang w:val="en-AU"/>
        </w:rPr>
        <w:t xml:space="preserve">1.8 g/L and </w:t>
      </w:r>
      <w:r w:rsidR="0074143D">
        <w:rPr>
          <w:lang w:val="en-AU"/>
        </w:rPr>
        <w:t xml:space="preserve">unaltered </w:t>
      </w:r>
      <w:r w:rsidR="00675ABD">
        <w:rPr>
          <w:lang w:val="en-AU"/>
        </w:rPr>
        <w:t xml:space="preserve">2.4 g/L. </w:t>
      </w:r>
    </w:p>
    <w:p w14:paraId="74A145E5" w14:textId="77777777" w:rsidR="00DD5695" w:rsidRDefault="00DD5695" w:rsidP="000012D2">
      <w:pPr>
        <w:rPr>
          <w:lang w:val="en-AU"/>
        </w:rPr>
      </w:pPr>
    </w:p>
    <w:p w14:paraId="0EEADC88" w14:textId="5A265A7C" w:rsidR="000012D2" w:rsidRDefault="00811B0D" w:rsidP="000012D2">
      <w:pPr>
        <w:rPr>
          <w:lang w:val="en-AU"/>
        </w:rPr>
      </w:pPr>
      <w:r>
        <w:rPr>
          <w:lang w:val="en-AU"/>
        </w:rPr>
        <w:t>The</w:t>
      </w:r>
      <w:r w:rsidR="00DD5695">
        <w:rPr>
          <w:lang w:val="en-AU"/>
        </w:rPr>
        <w:t xml:space="preserve"> higher maximum use level was </w:t>
      </w:r>
      <w:r>
        <w:rPr>
          <w:lang w:val="en-AU"/>
        </w:rPr>
        <w:t>also assessed</w:t>
      </w:r>
      <w:r w:rsidR="00DD5695">
        <w:rPr>
          <w:lang w:val="en-AU"/>
        </w:rPr>
        <w:t xml:space="preserve"> in light of several companies’ interest </w:t>
      </w:r>
      <w:r>
        <w:rPr>
          <w:lang w:val="en-AU"/>
        </w:rPr>
        <w:t>in</w:t>
      </w:r>
      <w:r w:rsidR="00DD5695">
        <w:rPr>
          <w:lang w:val="en-AU"/>
        </w:rPr>
        <w:t xml:space="preserve"> apply</w:t>
      </w:r>
      <w:r>
        <w:rPr>
          <w:lang w:val="en-AU"/>
        </w:rPr>
        <w:t>ing</w:t>
      </w:r>
      <w:r w:rsidR="00DD5695">
        <w:rPr>
          <w:lang w:val="en-AU"/>
        </w:rPr>
        <w:t xml:space="preserve"> for their proprietary brand of </w:t>
      </w:r>
      <w:r w:rsidR="009F1E7B">
        <w:rPr>
          <w:lang w:val="en-AU"/>
        </w:rPr>
        <w:t>one or both</w:t>
      </w:r>
      <w:r w:rsidR="00DD5695">
        <w:rPr>
          <w:lang w:val="en-AU"/>
        </w:rPr>
        <w:t xml:space="preserve"> oligosaccharides</w:t>
      </w:r>
      <w:r w:rsidR="00DB76A7">
        <w:rPr>
          <w:lang w:val="en-AU"/>
        </w:rPr>
        <w:t>,</w:t>
      </w:r>
      <w:r w:rsidR="00B3628D">
        <w:rPr>
          <w:lang w:val="en-AU"/>
        </w:rPr>
        <w:t xml:space="preserve"> </w:t>
      </w:r>
      <w:r w:rsidR="00037C21">
        <w:rPr>
          <w:lang w:val="en-AU"/>
        </w:rPr>
        <w:t>based on overseas approvals</w:t>
      </w:r>
      <w:r w:rsidR="00B3628D">
        <w:rPr>
          <w:lang w:val="en-AU"/>
        </w:rPr>
        <w:t xml:space="preserve"> up to 2.4 g/L</w:t>
      </w:r>
      <w:r w:rsidR="00DD5695">
        <w:rPr>
          <w:lang w:val="en-AU"/>
        </w:rPr>
        <w:t xml:space="preserve">. </w:t>
      </w:r>
      <w:r w:rsidR="00B3628D">
        <w:rPr>
          <w:lang w:val="en-AU"/>
        </w:rPr>
        <w:t xml:space="preserve">FSANZ’s </w:t>
      </w:r>
      <w:r w:rsidR="00DB76A7">
        <w:rPr>
          <w:lang w:val="en-AU"/>
        </w:rPr>
        <w:t>assessment of</w:t>
      </w:r>
      <w:r w:rsidR="00DD5695">
        <w:rPr>
          <w:lang w:val="en-AU"/>
        </w:rPr>
        <w:t xml:space="preserve"> the safety and health effects </w:t>
      </w:r>
      <w:r w:rsidR="009F1E7B">
        <w:rPr>
          <w:lang w:val="en-AU"/>
        </w:rPr>
        <w:t xml:space="preserve">up to </w:t>
      </w:r>
      <w:r w:rsidR="00B3628D">
        <w:rPr>
          <w:lang w:val="en-AU"/>
        </w:rPr>
        <w:t xml:space="preserve">this </w:t>
      </w:r>
      <w:r w:rsidR="009F1E7B">
        <w:rPr>
          <w:lang w:val="en-AU"/>
        </w:rPr>
        <w:t>maximum level means that</w:t>
      </w:r>
      <w:r w:rsidR="00367F33">
        <w:rPr>
          <w:lang w:val="en-AU"/>
        </w:rPr>
        <w:t>, if A1155 were approved,</w:t>
      </w:r>
      <w:r w:rsidR="009F1E7B">
        <w:rPr>
          <w:lang w:val="en-AU"/>
        </w:rPr>
        <w:t xml:space="preserve"> subsequent applications</w:t>
      </w:r>
      <w:r w:rsidR="00C96E22">
        <w:rPr>
          <w:rStyle w:val="FootnoteReference"/>
          <w:lang w:val="en-AU"/>
        </w:rPr>
        <w:footnoteReference w:id="2"/>
      </w:r>
      <w:r w:rsidR="009F1E7B">
        <w:rPr>
          <w:lang w:val="en-AU"/>
        </w:rPr>
        <w:t xml:space="preserve"> would </w:t>
      </w:r>
      <w:r w:rsidR="00D07B59">
        <w:rPr>
          <w:lang w:val="en-AU"/>
        </w:rPr>
        <w:t>reduce in scope to an assessment of the</w:t>
      </w:r>
      <w:r w:rsidR="0074143D">
        <w:rPr>
          <w:lang w:val="en-AU"/>
        </w:rPr>
        <w:t xml:space="preserve"> </w:t>
      </w:r>
      <w:r w:rsidR="00D07B59">
        <w:rPr>
          <w:lang w:val="en-AU"/>
        </w:rPr>
        <w:t>safety of the method of production and product specification</w:t>
      </w:r>
      <w:r w:rsidR="0074143D">
        <w:rPr>
          <w:lang w:val="en-AU"/>
        </w:rPr>
        <w:t>. This would simplify future assessments</w:t>
      </w:r>
      <w:r w:rsidR="00C96E22">
        <w:rPr>
          <w:lang w:val="en-AU"/>
        </w:rPr>
        <w:t xml:space="preserve"> consistent with the Ministerial priority to maintain an agile food regulatory system</w:t>
      </w:r>
      <w:r w:rsidR="009F1E7B">
        <w:rPr>
          <w:lang w:val="en-AU"/>
        </w:rPr>
        <w:t>.</w:t>
      </w:r>
      <w:r w:rsidR="00DD5695">
        <w:rPr>
          <w:lang w:val="en-AU"/>
        </w:rPr>
        <w:t xml:space="preserve"> </w:t>
      </w:r>
    </w:p>
    <w:p w14:paraId="631B16E9" w14:textId="77777777" w:rsidR="000012D2" w:rsidRDefault="000012D2" w:rsidP="000012D2">
      <w:pPr>
        <w:rPr>
          <w:lang w:val="en-AU"/>
        </w:rPr>
      </w:pPr>
    </w:p>
    <w:p w14:paraId="214AC9C1" w14:textId="4105524D" w:rsidR="000012D2" w:rsidRDefault="00B3628D" w:rsidP="000012D2">
      <w:r w:rsidRPr="00707D92">
        <w:rPr>
          <w:lang w:val="en-AU"/>
        </w:rPr>
        <w:lastRenderedPageBreak/>
        <w:t xml:space="preserve">The assessment considered a body of evidence including in vitro studies, animal studies including those in neonatal animals, and human studies including clinical trials </w:t>
      </w:r>
      <w:r>
        <w:rPr>
          <w:noProof/>
          <w:lang w:eastAsia="en-GB" w:bidi="ar-SA"/>
        </w:rPr>
        <mc:AlternateContent>
          <mc:Choice Requires="wps">
            <w:drawing>
              <wp:anchor distT="45720" distB="45720" distL="114300" distR="114300" simplePos="0" relativeHeight="251658244" behindDoc="0" locked="0" layoutInCell="1" allowOverlap="1" wp14:anchorId="518BF96C" wp14:editId="01EC8EDD">
                <wp:simplePos x="0" y="0"/>
                <wp:positionH relativeFrom="margin">
                  <wp:align>right</wp:align>
                </wp:positionH>
                <wp:positionV relativeFrom="paragraph">
                  <wp:posOffset>18415</wp:posOffset>
                </wp:positionV>
                <wp:extent cx="2129790" cy="1358900"/>
                <wp:effectExtent l="0" t="0" r="22860"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358900"/>
                        </a:xfrm>
                        <a:prstGeom prst="rect">
                          <a:avLst/>
                        </a:prstGeom>
                        <a:solidFill>
                          <a:srgbClr val="FFFFFF"/>
                        </a:solidFill>
                        <a:ln w="9525">
                          <a:solidFill>
                            <a:srgbClr val="000000"/>
                          </a:solidFill>
                          <a:miter lim="800000"/>
                          <a:headEnd/>
                          <a:tailEnd/>
                        </a:ln>
                      </wps:spPr>
                      <wps:txbx>
                        <w:txbxContent>
                          <w:p w14:paraId="1B265CC5" w14:textId="77777777" w:rsidR="0073117A" w:rsidRDefault="0073117A" w:rsidP="00B3628D">
                            <w:pPr>
                              <w:jc w:val="center"/>
                              <w:rPr>
                                <w:color w:val="000000" w:themeColor="text1"/>
                              </w:rPr>
                            </w:pPr>
                            <w:r>
                              <w:rPr>
                                <w:lang w:val="en-AU"/>
                              </w:rPr>
                              <w:t xml:space="preserve">The evidence assessed </w:t>
                            </w:r>
                            <w:r>
                              <w:t xml:space="preserve">demonstrates </w:t>
                            </w:r>
                            <w:r w:rsidRPr="00FC5D95">
                              <w:rPr>
                                <w:color w:val="000000" w:themeColor="text1"/>
                              </w:rPr>
                              <w:t>2’-FL</w:t>
                            </w:r>
                            <w:r>
                              <w:rPr>
                                <w:color w:val="000000" w:themeColor="text1"/>
                              </w:rPr>
                              <w:t xml:space="preserve"> &amp; LNnT have a bifidogenic effect.</w:t>
                            </w:r>
                          </w:p>
                          <w:p w14:paraId="29C1B587" w14:textId="77777777" w:rsidR="0073117A" w:rsidRDefault="0073117A" w:rsidP="00B3628D">
                            <w:pPr>
                              <w:jc w:val="center"/>
                            </w:pPr>
                            <w:r>
                              <w:rPr>
                                <w:color w:val="000000" w:themeColor="text1"/>
                              </w:rPr>
                              <w:t xml:space="preserve">Also that </w:t>
                            </w:r>
                            <w:r w:rsidRPr="00FC5D95">
                              <w:rPr>
                                <w:color w:val="000000" w:themeColor="text1"/>
                              </w:rPr>
                              <w:t>2’-FL</w:t>
                            </w:r>
                            <w:r>
                              <w:rPr>
                                <w:color w:val="000000" w:themeColor="text1"/>
                              </w:rPr>
                              <w:t xml:space="preserve"> binds to </w:t>
                            </w:r>
                            <w:r w:rsidRPr="00FC5D95">
                              <w:rPr>
                                <w:color w:val="000000" w:themeColor="text1"/>
                              </w:rPr>
                              <w:t xml:space="preserve">invasive strains of </w:t>
                            </w:r>
                            <w:r w:rsidRPr="00FC5D95">
                              <w:rPr>
                                <w:i/>
                                <w:color w:val="000000" w:themeColor="text1"/>
                              </w:rPr>
                              <w:t>Campylobacter jejuni</w:t>
                            </w:r>
                            <w: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8BF96C" id="Text Box 10" o:spid="_x0000_s1027" type="#_x0000_t202" style="position:absolute;margin-left:116.5pt;margin-top:1.45pt;width:167.7pt;height:107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">
                <v:textbox>
                  <w:txbxContent>
                    <w:p w14:paraId="1B265CC5" w14:textId="77777777" w:rsidR="0073117A" w:rsidRDefault="0073117A" w:rsidP="00B3628D">
                      <w:pPr>
                        <w:jc w:val="center"/>
                        <w:rPr>
                          <w:color w:val="000000" w:themeColor="text1"/>
                        </w:rPr>
                      </w:pPr>
                      <w:r>
                        <w:rPr>
                          <w:lang w:val="en-AU"/>
                        </w:rPr>
                        <w:t xml:space="preserve">The evidence assessed </w:t>
                      </w:r>
                      <w:r>
                        <w:t xml:space="preserve">demonstrates </w:t>
                      </w:r>
                      <w:r w:rsidRPr="00FC5D95">
                        <w:rPr>
                          <w:color w:val="000000" w:themeColor="text1"/>
                        </w:rPr>
                        <w:t>2’-FL</w:t>
                      </w:r>
                      <w:r>
                        <w:rPr>
                          <w:color w:val="000000" w:themeColor="text1"/>
                        </w:rPr>
                        <w:t xml:space="preserve"> &amp; LNnT have a bifidogenic effect.</w:t>
                      </w:r>
                    </w:p>
                    <w:p w14:paraId="29C1B587" w14:textId="77777777" w:rsidR="0073117A" w:rsidRDefault="0073117A" w:rsidP="00B3628D">
                      <w:pPr>
                        <w:jc w:val="center"/>
                      </w:pPr>
                      <w:r>
                        <w:rPr>
                          <w:color w:val="000000" w:themeColor="text1"/>
                        </w:rPr>
                        <w:t xml:space="preserve">Also that </w:t>
                      </w:r>
                      <w:r w:rsidRPr="00FC5D95">
                        <w:rPr>
                          <w:color w:val="000000" w:themeColor="text1"/>
                        </w:rPr>
                        <w:t>2’-FL</w:t>
                      </w:r>
                      <w:r>
                        <w:rPr>
                          <w:color w:val="000000" w:themeColor="text1"/>
                        </w:rPr>
                        <w:t xml:space="preserve"> binds to </w:t>
                      </w:r>
                      <w:r w:rsidRPr="00FC5D95">
                        <w:rPr>
                          <w:color w:val="000000" w:themeColor="text1"/>
                        </w:rPr>
                        <w:t xml:space="preserve">invasive strains of </w:t>
                      </w:r>
                      <w:r w:rsidRPr="00FC5D95">
                        <w:rPr>
                          <w:i/>
                          <w:color w:val="000000" w:themeColor="text1"/>
                        </w:rPr>
                        <w:t>Campylobacter jejuni</w:t>
                      </w:r>
                      <w:r>
                        <w:t>.</w:t>
                      </w:r>
                    </w:p>
                  </w:txbxContent>
                </v:textbox>
                <w10:wrap type="square" anchorx="margin"/>
              </v:shape>
            </w:pict>
          </mc:Fallback>
        </mc:AlternateContent>
      </w:r>
      <w:r>
        <w:rPr>
          <w:lang w:val="en-AU"/>
        </w:rPr>
        <w:t xml:space="preserve">in infants. </w:t>
      </w:r>
      <w:r w:rsidR="00811B0D">
        <w:rPr>
          <w:lang w:val="en-AU"/>
        </w:rPr>
        <w:t>It</w:t>
      </w:r>
      <w:r w:rsidR="000012D2">
        <w:rPr>
          <w:lang w:val="en-AU"/>
        </w:rPr>
        <w:t xml:space="preserve"> </w:t>
      </w:r>
      <w:r w:rsidR="000012D2">
        <w:t>concluded</w:t>
      </w:r>
      <w:r w:rsidR="00367F33">
        <w:t xml:space="preserve"> that</w:t>
      </w:r>
      <w:r w:rsidR="000012D2">
        <w:t xml:space="preserve"> a</w:t>
      </w:r>
      <w:r w:rsidR="00367F33">
        <w:t xml:space="preserve"> protective</w:t>
      </w:r>
      <w:r w:rsidR="000012D2">
        <w:t xml:space="preserve"> </w:t>
      </w:r>
      <w:r w:rsidR="000012D2" w:rsidRPr="00FC5D95">
        <w:rPr>
          <w:color w:val="000000" w:themeColor="text1"/>
        </w:rPr>
        <w:t xml:space="preserve">specific binding mechanism </w:t>
      </w:r>
      <w:r w:rsidR="00367F33">
        <w:rPr>
          <w:color w:val="000000" w:themeColor="text1"/>
        </w:rPr>
        <w:t xml:space="preserve">exists </w:t>
      </w:r>
      <w:r w:rsidR="004454DD">
        <w:rPr>
          <w:color w:val="000000" w:themeColor="text1"/>
        </w:rPr>
        <w:t>between</w:t>
      </w:r>
      <w:r w:rsidR="004454DD" w:rsidRPr="00FC5D95">
        <w:rPr>
          <w:color w:val="000000" w:themeColor="text1"/>
        </w:rPr>
        <w:t xml:space="preserve"> </w:t>
      </w:r>
      <w:r w:rsidR="000012D2" w:rsidRPr="00FC5D95">
        <w:rPr>
          <w:color w:val="000000" w:themeColor="text1"/>
        </w:rPr>
        <w:t xml:space="preserve">2’-FL and invasive strains of </w:t>
      </w:r>
      <w:r w:rsidR="000012D2" w:rsidRPr="00FC5D95">
        <w:rPr>
          <w:i/>
          <w:color w:val="000000" w:themeColor="text1"/>
        </w:rPr>
        <w:t>Campylobacter jejuni</w:t>
      </w:r>
      <w:r w:rsidR="000012D2">
        <w:rPr>
          <w:i/>
          <w:color w:val="000000" w:themeColor="text1"/>
        </w:rPr>
        <w:t>,</w:t>
      </w:r>
      <w:r w:rsidR="000012D2" w:rsidRPr="00C06870">
        <w:t xml:space="preserve"> </w:t>
      </w:r>
      <w:r w:rsidR="000012D2">
        <w:t xml:space="preserve">and </w:t>
      </w:r>
      <w:r w:rsidR="00367F33">
        <w:t xml:space="preserve">that </w:t>
      </w:r>
      <w:r w:rsidR="000116A0">
        <w:t xml:space="preserve">both oligosaccharides promote </w:t>
      </w:r>
      <w:r w:rsidR="000012D2" w:rsidRPr="00C06870">
        <w:t xml:space="preserve">an increase in the relative abundance of bifidobacteria in the intestinal microflora. </w:t>
      </w:r>
      <w:r w:rsidR="000012D2">
        <w:t>T</w:t>
      </w:r>
      <w:r w:rsidR="000012D2" w:rsidRPr="00C06870">
        <w:t>hese effects</w:t>
      </w:r>
      <w:r w:rsidR="000012D2" w:rsidRPr="00C06870" w:rsidDel="00D81C78">
        <w:t xml:space="preserve"> </w:t>
      </w:r>
      <w:r w:rsidR="000012D2" w:rsidRPr="00C06870">
        <w:t xml:space="preserve">may be enhanced as concentrations of 2′-FL </w:t>
      </w:r>
      <w:r w:rsidR="000012D2" w:rsidRPr="00C06870" w:rsidDel="00443262">
        <w:t>are increased</w:t>
      </w:r>
      <w:r w:rsidR="000012D2" w:rsidRPr="00C06870">
        <w:t xml:space="preserve">. </w:t>
      </w:r>
      <w:r w:rsidR="000012D2">
        <w:t xml:space="preserve">The </w:t>
      </w:r>
      <w:r w:rsidR="000012D2" w:rsidRPr="009D1345">
        <w:rPr>
          <w:rFonts w:cs="Arial"/>
          <w:szCs w:val="22"/>
        </w:rPr>
        <w:t xml:space="preserve">assessment </w:t>
      </w:r>
      <w:r w:rsidR="000012D2">
        <w:rPr>
          <w:rFonts w:cs="Arial"/>
          <w:szCs w:val="22"/>
        </w:rPr>
        <w:t xml:space="preserve">also </w:t>
      </w:r>
      <w:r w:rsidR="000012D2" w:rsidRPr="009D1345">
        <w:rPr>
          <w:rFonts w:cs="Arial"/>
          <w:szCs w:val="22"/>
        </w:rPr>
        <w:t xml:space="preserve">concluded </w:t>
      </w:r>
      <w:r w:rsidR="000012D2">
        <w:rPr>
          <w:rFonts w:cs="Arial"/>
          <w:szCs w:val="22"/>
        </w:rPr>
        <w:t>there is insufficient</w:t>
      </w:r>
      <w:r w:rsidR="000012D2" w:rsidRPr="009D1345">
        <w:rPr>
          <w:rFonts w:cs="Arial"/>
          <w:szCs w:val="22"/>
        </w:rPr>
        <w:t xml:space="preserve"> evidence </w:t>
      </w:r>
      <w:r w:rsidR="000012D2">
        <w:rPr>
          <w:rFonts w:cs="Arial"/>
          <w:szCs w:val="22"/>
        </w:rPr>
        <w:t>to</w:t>
      </w:r>
      <w:r w:rsidR="000012D2" w:rsidRPr="009D1345">
        <w:rPr>
          <w:rFonts w:cs="Arial"/>
          <w:szCs w:val="22"/>
        </w:rPr>
        <w:t xml:space="preserve"> support </w:t>
      </w:r>
      <w:r w:rsidR="000012D2">
        <w:rPr>
          <w:rFonts w:cs="Arial"/>
          <w:szCs w:val="22"/>
        </w:rPr>
        <w:t>a role of</w:t>
      </w:r>
      <w:r w:rsidR="000012D2" w:rsidRPr="00C06870">
        <w:t xml:space="preserve"> 2′-FL </w:t>
      </w:r>
      <w:r w:rsidR="000012D2">
        <w:t xml:space="preserve">and LNnT </w:t>
      </w:r>
      <w:r w:rsidR="000012D2">
        <w:rPr>
          <w:rFonts w:cs="Arial"/>
          <w:szCs w:val="22"/>
        </w:rPr>
        <w:t xml:space="preserve">in immune modulation or improved intestinal barrier function. </w:t>
      </w:r>
    </w:p>
    <w:p w14:paraId="4D2AB42C" w14:textId="77777777" w:rsidR="000012D2" w:rsidRDefault="000012D2" w:rsidP="000012D2"/>
    <w:p w14:paraId="73F51793" w14:textId="0CD95DD0" w:rsidR="00705170" w:rsidRPr="00705170" w:rsidRDefault="00CC71DF" w:rsidP="00CC71DF">
      <w:r>
        <w:t>The generic GM l</w:t>
      </w:r>
      <w:r w:rsidRPr="00705170">
        <w:rPr>
          <w:lang w:val="en-AU"/>
        </w:rPr>
        <w:t xml:space="preserve">abelling </w:t>
      </w:r>
      <w:r>
        <w:rPr>
          <w:lang w:val="en-AU"/>
        </w:rPr>
        <w:t xml:space="preserve">Code </w:t>
      </w:r>
      <w:r w:rsidR="00F93522">
        <w:rPr>
          <w:lang w:val="en-AU"/>
        </w:rPr>
        <w:t xml:space="preserve">requirements </w:t>
      </w:r>
      <w:r w:rsidRPr="00705170">
        <w:rPr>
          <w:lang w:val="en-AU"/>
        </w:rPr>
        <w:t>apply</w:t>
      </w:r>
      <w:r>
        <w:rPr>
          <w:lang w:val="en-AU"/>
        </w:rPr>
        <w:t xml:space="preserve"> to these substances. A</w:t>
      </w:r>
      <w:r w:rsidRPr="00705170">
        <w:rPr>
          <w:lang w:val="en-AU"/>
        </w:rPr>
        <w:t xml:space="preserve">s there is </w:t>
      </w:r>
      <w:r>
        <w:rPr>
          <w:lang w:val="en-AU"/>
        </w:rPr>
        <w:t>no</w:t>
      </w:r>
      <w:r w:rsidRPr="00705170">
        <w:rPr>
          <w:lang w:val="en-AU"/>
        </w:rPr>
        <w:t xml:space="preserve"> novel protein or DNA present in </w:t>
      </w:r>
      <w:r>
        <w:rPr>
          <w:lang w:val="en-AU"/>
        </w:rPr>
        <w:t xml:space="preserve">the 2’FL and LNnT </w:t>
      </w:r>
      <w:r w:rsidRPr="00705170">
        <w:rPr>
          <w:lang w:val="en-AU"/>
        </w:rPr>
        <w:t>they will not be required to be labelled as GM</w:t>
      </w:r>
      <w:r>
        <w:rPr>
          <w:lang w:val="en-AU"/>
        </w:rPr>
        <w:t xml:space="preserve">. </w:t>
      </w:r>
      <w:r>
        <w:t>In response to issues raised by some submitters there are proh</w:t>
      </w:r>
      <w:r w:rsidR="004454DD">
        <w:t>ib</w:t>
      </w:r>
      <w:r>
        <w:t>itions on terms that can be used in the labelling</w:t>
      </w:r>
      <w:r w:rsidR="00705170" w:rsidRPr="00705170">
        <w:rPr>
          <w:lang w:val="en-AU"/>
        </w:rPr>
        <w:t>: human milk identical oligosaccharides and similar abbreviations</w:t>
      </w:r>
      <w:r>
        <w:rPr>
          <w:lang w:val="en-AU"/>
        </w:rPr>
        <w:t xml:space="preserve">. The generic term oligosaccharide, the chemical name and the chemical name abbreviations can all be used. The prohibition applies to </w:t>
      </w:r>
      <w:r w:rsidR="00705170" w:rsidRPr="00705170">
        <w:rPr>
          <w:lang w:val="en-AU"/>
        </w:rPr>
        <w:t xml:space="preserve">both IF &amp; FSFYC to prevent risk of consumers being misled about the equivalency of </w:t>
      </w:r>
      <w:r>
        <w:rPr>
          <w:lang w:val="en-AU"/>
        </w:rPr>
        <w:t>these products</w:t>
      </w:r>
      <w:r w:rsidR="00705170" w:rsidRPr="00705170">
        <w:rPr>
          <w:lang w:val="en-AU"/>
        </w:rPr>
        <w:t xml:space="preserve"> with breast milk. </w:t>
      </w:r>
    </w:p>
    <w:p w14:paraId="549428FD" w14:textId="74603BEF" w:rsidR="00705170" w:rsidRDefault="00705170" w:rsidP="000012D2"/>
    <w:p w14:paraId="7A4EEBA0" w14:textId="0AB4C91E" w:rsidR="000012D2" w:rsidRDefault="000012D2" w:rsidP="000012D2">
      <w:r w:rsidRPr="00B078A1">
        <w:rPr>
          <w:noProof/>
          <w:lang w:eastAsia="en-GB" w:bidi="ar-SA"/>
        </w:rPr>
        <mc:AlternateContent>
          <mc:Choice Requires="wps">
            <w:drawing>
              <wp:anchor distT="45720" distB="45720" distL="114300" distR="114300" simplePos="0" relativeHeight="251658243" behindDoc="0" locked="0" layoutInCell="1" allowOverlap="1" wp14:anchorId="03B2BF4A" wp14:editId="7B612351">
                <wp:simplePos x="0" y="0"/>
                <wp:positionH relativeFrom="margin">
                  <wp:posOffset>3570605</wp:posOffset>
                </wp:positionH>
                <wp:positionV relativeFrom="paragraph">
                  <wp:posOffset>74501</wp:posOffset>
                </wp:positionV>
                <wp:extent cx="2225040" cy="1342390"/>
                <wp:effectExtent l="0" t="0" r="22860" b="101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342390"/>
                        </a:xfrm>
                        <a:prstGeom prst="rect">
                          <a:avLst/>
                        </a:prstGeom>
                        <a:solidFill>
                          <a:srgbClr val="FFFFFF"/>
                        </a:solidFill>
                        <a:ln w="9525">
                          <a:solidFill>
                            <a:srgbClr val="000000"/>
                          </a:solidFill>
                          <a:miter lim="800000"/>
                          <a:headEnd/>
                          <a:tailEnd/>
                        </a:ln>
                      </wps:spPr>
                      <wps:txbx>
                        <w:txbxContent>
                          <w:p w14:paraId="385F1C60" w14:textId="77777777" w:rsidR="0073117A" w:rsidRDefault="0073117A" w:rsidP="000012D2">
                            <w:pPr>
                              <w:jc w:val="center"/>
                            </w:pPr>
                            <w:r>
                              <w:t>Labelling restrictions on the terminology that can be used aim to minimise the risk of consumers being misled.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B2BF4A" id="Text Box 7" o:spid="_x0000_s1028" type="#_x0000_t202" style="position:absolute;margin-left:281.15pt;margin-top:5.85pt;width:175.2pt;height:105.7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p7KAIAAE4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">
                <v:textbox>
                  <w:txbxContent>
                    <w:p w14:paraId="385F1C60" w14:textId="77777777" w:rsidR="0073117A" w:rsidRDefault="0073117A" w:rsidP="000012D2">
                      <w:pPr>
                        <w:jc w:val="center"/>
                      </w:pPr>
                      <w:r>
                        <w:t>Labelling restrictions on the terminology that can be used aim to minimise the risk of consumers being misled.</w:t>
                      </w:r>
                    </w:p>
                  </w:txbxContent>
                </v:textbox>
                <w10:wrap type="square" anchorx="margin"/>
              </v:shape>
            </w:pict>
          </mc:Fallback>
        </mc:AlternateContent>
      </w:r>
      <w:r>
        <w:t>On 22 July 2019</w:t>
      </w:r>
      <w:r w:rsidRPr="00D470DD">
        <w:t xml:space="preserve">, </w:t>
      </w:r>
      <w:r>
        <w:t xml:space="preserve">FSANZ published an assessment report and sought submissions on a draft variation. </w:t>
      </w:r>
    </w:p>
    <w:p w14:paraId="40B24BB1" w14:textId="77777777" w:rsidR="000012D2" w:rsidRDefault="000012D2" w:rsidP="000012D2">
      <w:pPr>
        <w:rPr>
          <w:lang w:val="en-AU"/>
        </w:rPr>
      </w:pPr>
      <w:r>
        <w:t xml:space="preserve">The draft variation permitted the use of </w:t>
      </w:r>
      <w:r>
        <w:rPr>
          <w:lang w:val="en-AU"/>
        </w:rPr>
        <w:t>2′-FL</w:t>
      </w:r>
      <w:r>
        <w:t xml:space="preserve"> and LNnT on the basis that: the proposed use is safe, can provide beneficial health effects; allows alternative options to existing oligosaccharide permissions; supports </w:t>
      </w:r>
      <w:r>
        <w:rPr>
          <w:lang w:val="en-AU"/>
        </w:rPr>
        <w:t xml:space="preserve">international consistency and provides trade opportunities. </w:t>
      </w:r>
    </w:p>
    <w:p w14:paraId="130E94CE" w14:textId="77777777" w:rsidR="000012D2" w:rsidRDefault="000012D2" w:rsidP="000012D2">
      <w:pPr>
        <w:rPr>
          <w:lang w:val="en-AU"/>
        </w:rPr>
      </w:pPr>
    </w:p>
    <w:p w14:paraId="316F4B99" w14:textId="0F88A948" w:rsidR="000012D2" w:rsidRDefault="000012D2" w:rsidP="000012D2">
      <w:pPr>
        <w:keepNext/>
        <w:keepLines/>
        <w:rPr>
          <w:rFonts w:cs="Arial"/>
        </w:rPr>
      </w:pPr>
      <w:r>
        <w:t xml:space="preserve">Addition of new substances to infant formula can be a contentious topic. FSANZ received </w:t>
      </w:r>
      <w:r w:rsidR="00C80D06">
        <w:t xml:space="preserve">21 </w:t>
      </w:r>
      <w:r>
        <w:t>submissions</w:t>
      </w:r>
      <w:r>
        <w:rPr>
          <w:rFonts w:cs="Arial"/>
        </w:rPr>
        <w:t xml:space="preserve"> to the 2</w:t>
      </w:r>
      <w:r w:rsidRPr="00707D92">
        <w:rPr>
          <w:rFonts w:cs="Arial"/>
          <w:vertAlign w:val="superscript"/>
        </w:rPr>
        <w:t>nd</w:t>
      </w:r>
      <w:r>
        <w:rPr>
          <w:rFonts w:cs="Arial"/>
        </w:rPr>
        <w:t xml:space="preserve"> CFS. </w:t>
      </w:r>
      <w:r w:rsidR="00367F33">
        <w:rPr>
          <w:rFonts w:cs="Arial"/>
        </w:rPr>
        <w:t xml:space="preserve">Submissions expressed </w:t>
      </w:r>
      <w:r>
        <w:rPr>
          <w:rFonts w:cs="Arial"/>
        </w:rPr>
        <w:t xml:space="preserve">divergent stakeholder views. Twelve </w:t>
      </w:r>
      <w:r w:rsidR="00367F33">
        <w:rPr>
          <w:rFonts w:cs="Arial"/>
        </w:rPr>
        <w:t xml:space="preserve">of these </w:t>
      </w:r>
      <w:r>
        <w:rPr>
          <w:rFonts w:cs="Arial"/>
        </w:rPr>
        <w:t xml:space="preserve">supported the overall addition of </w:t>
      </w:r>
      <w:r w:rsidRPr="00C06870">
        <w:t xml:space="preserve">2′-FL </w:t>
      </w:r>
      <w:r>
        <w:t xml:space="preserve">and LNnT. </w:t>
      </w:r>
      <w:r>
        <w:rPr>
          <w:rFonts w:cs="Arial"/>
        </w:rPr>
        <w:t>Issues raised related to FSANZ’s consideration of the labelling restrictions, the prohibition of use with existing GOS and ITF</w:t>
      </w:r>
      <w:r w:rsidR="00367F33">
        <w:rPr>
          <w:rFonts w:cs="Arial"/>
        </w:rPr>
        <w:t xml:space="preserve"> and regard to</w:t>
      </w:r>
      <w:r w:rsidR="00367F33" w:rsidRPr="00367F33">
        <w:rPr>
          <w:rFonts w:cs="Arial"/>
        </w:rPr>
        <w:t xml:space="preserve"> </w:t>
      </w:r>
      <w:r w:rsidR="00367F33">
        <w:rPr>
          <w:rFonts w:cs="Arial"/>
        </w:rPr>
        <w:t>the policy guidelines</w:t>
      </w:r>
      <w:r>
        <w:rPr>
          <w:rFonts w:cs="Arial"/>
        </w:rPr>
        <w:t xml:space="preserve">. FSANZ has taken all the views into consideration in the decision process. </w:t>
      </w:r>
    </w:p>
    <w:p w14:paraId="15B3FF3B" w14:textId="77777777" w:rsidR="000012D2" w:rsidRDefault="000012D2" w:rsidP="000012D2">
      <w:pPr>
        <w:keepNext/>
        <w:keepLines/>
      </w:pPr>
    </w:p>
    <w:p w14:paraId="35533B53" w14:textId="1F7F939E" w:rsidR="000012D2" w:rsidRPr="00D470DD" w:rsidRDefault="000012D2" w:rsidP="000012D2">
      <w:r>
        <w:t>The addition of 2</w:t>
      </w:r>
      <w:r w:rsidRPr="00FC4BFC">
        <w:t>′-FL</w:t>
      </w:r>
      <w:r>
        <w:t xml:space="preserve"> and</w:t>
      </w:r>
      <w:r w:rsidRPr="00FC4BFC">
        <w:t xml:space="preserve"> LNnT</w:t>
      </w:r>
      <w:r>
        <w:t xml:space="preserve"> to IFP and FSFYC at the levels proposed is safe and consistent with </w:t>
      </w:r>
      <w:r w:rsidR="00D07B59">
        <w:t xml:space="preserve">the average </w:t>
      </w:r>
      <w:r>
        <w:t xml:space="preserve">level in human milk; and can provide beneficial health effects to infants and young children. </w:t>
      </w:r>
      <w:r>
        <w:rPr>
          <w:rFonts w:cs="Arial"/>
        </w:rPr>
        <w:t xml:space="preserve">The permission </w:t>
      </w:r>
      <w:r>
        <w:rPr>
          <w:lang w:val="en-AU"/>
        </w:rPr>
        <w:t>supports international consistency and trade opportunities</w:t>
      </w:r>
      <w:r w:rsidR="00D07B59">
        <w:rPr>
          <w:lang w:val="en-AU"/>
        </w:rPr>
        <w:t>. It also</w:t>
      </w:r>
      <w:r>
        <w:rPr>
          <w:lang w:val="en-AU"/>
        </w:rPr>
        <w:t xml:space="preserve"> </w:t>
      </w:r>
      <w:r w:rsidR="00D07B59">
        <w:rPr>
          <w:lang w:val="en-AU"/>
        </w:rPr>
        <w:t xml:space="preserve">allows for industry innovation and provides </w:t>
      </w:r>
      <w:r>
        <w:rPr>
          <w:lang w:val="en-AU"/>
        </w:rPr>
        <w:t xml:space="preserve">an alternative </w:t>
      </w:r>
      <w:r w:rsidR="00D07B59">
        <w:rPr>
          <w:lang w:val="en-AU"/>
        </w:rPr>
        <w:t>to currently permitted oligosaccharides (FOS and GOS)</w:t>
      </w:r>
      <w:r>
        <w:rPr>
          <w:lang w:val="en-AU"/>
        </w:rPr>
        <w:t xml:space="preserve"> in infant formula products and FSFYC. </w:t>
      </w:r>
    </w:p>
    <w:p w14:paraId="55179E2B" w14:textId="77777777" w:rsidR="000012D2" w:rsidRDefault="000012D2" w:rsidP="000012D2">
      <w:pPr>
        <w:keepNext/>
        <w:keepLines/>
      </w:pPr>
      <w:r>
        <w:t xml:space="preserve"> </w:t>
      </w:r>
    </w:p>
    <w:p w14:paraId="061BA83F" w14:textId="11B1EADB" w:rsidR="000012D2" w:rsidRPr="00A36E88" w:rsidRDefault="000012D2" w:rsidP="000012D2">
      <w:r>
        <w:rPr>
          <w:noProof/>
          <w:lang w:eastAsia="en-GB" w:bidi="ar-SA"/>
        </w:rPr>
        <mc:AlternateContent>
          <mc:Choice Requires="wps">
            <w:drawing>
              <wp:anchor distT="45720" distB="45720" distL="114300" distR="114300" simplePos="0" relativeHeight="251658242" behindDoc="0" locked="0" layoutInCell="1" allowOverlap="1" wp14:anchorId="5894C56C" wp14:editId="5E66A8C2">
                <wp:simplePos x="0" y="0"/>
                <wp:positionH relativeFrom="margin">
                  <wp:posOffset>3538855</wp:posOffset>
                </wp:positionH>
                <wp:positionV relativeFrom="paragraph">
                  <wp:posOffset>97790</wp:posOffset>
                </wp:positionV>
                <wp:extent cx="2360930" cy="1797050"/>
                <wp:effectExtent l="0" t="0" r="2032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7050"/>
                        </a:xfrm>
                        <a:prstGeom prst="rect">
                          <a:avLst/>
                        </a:prstGeom>
                        <a:solidFill>
                          <a:srgbClr val="FFFFFF"/>
                        </a:solidFill>
                        <a:ln w="9525">
                          <a:solidFill>
                            <a:srgbClr val="000000"/>
                          </a:solidFill>
                          <a:miter lim="800000"/>
                          <a:headEnd/>
                          <a:tailEnd/>
                        </a:ln>
                      </wps:spPr>
                      <wps:txbx>
                        <w:txbxContent>
                          <w:p w14:paraId="5CD26BB6" w14:textId="589C12F7" w:rsidR="0073117A" w:rsidRPr="00D470DD" w:rsidRDefault="0073117A" w:rsidP="000012D2">
                            <w:r w:rsidRPr="00F87CC4">
                              <w:t xml:space="preserve">2′-FL and LNnT are permitted to be added </w:t>
                            </w:r>
                            <w:r>
                              <w:t xml:space="preserve">to </w:t>
                            </w:r>
                            <w:r w:rsidRPr="00F87CC4">
                              <w:t>these foods in many countries: the EU, Asia and the Americas at a range of levels.</w:t>
                            </w:r>
                            <w:r w:rsidRPr="00F87CC4">
                              <w:rPr>
                                <w:lang w:val="en-AU"/>
                              </w:rPr>
                              <w:t xml:space="preserve"> </w:t>
                            </w:r>
                            <w:r>
                              <w:rPr>
                                <w:lang w:val="en-AU"/>
                              </w:rPr>
                              <w:t xml:space="preserve">The permission provides industry with alternative oligosaccharide options for use in infant formula products and FSFYC, allowing opportunities for innovation. </w:t>
                            </w:r>
                          </w:p>
                          <w:p w14:paraId="0F7B1643" w14:textId="77777777" w:rsidR="0073117A" w:rsidRDefault="0073117A" w:rsidP="000012D2">
                            <w:pPr>
                              <w:jc w:val="cente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5894C56C" id="_x0000_s1029" type="#_x0000_t202" style="position:absolute;margin-left:278.65pt;margin-top:7.7pt;width:185.9pt;height:141.5pt;z-index:25165824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">
                <v:textbox>
                  <w:txbxContent>
                    <w:p w14:paraId="5CD26BB6" w14:textId="589C12F7" w:rsidR="0073117A" w:rsidRPr="00D470DD" w:rsidRDefault="0073117A" w:rsidP="000012D2">
                      <w:r w:rsidRPr="00F87CC4">
                        <w:t xml:space="preserve">2′-FL and LNnT are permitted to be added </w:t>
                      </w:r>
                      <w:r>
                        <w:t xml:space="preserve">to </w:t>
                      </w:r>
                      <w:r w:rsidRPr="00F87CC4">
                        <w:t>these foods in many countries: the EU, Asia and the Americas at a range of levels.</w:t>
                      </w:r>
                      <w:r w:rsidRPr="00F87CC4">
                        <w:rPr>
                          <w:lang w:val="en-AU"/>
                        </w:rPr>
                        <w:t xml:space="preserve"> </w:t>
                      </w:r>
                      <w:r>
                        <w:rPr>
                          <w:lang w:val="en-AU"/>
                        </w:rPr>
                        <w:t xml:space="preserve">The permission provides industry with alternative oligosaccharide options for use in infant formula products and FSFYC, allowing opportunities for innovation. </w:t>
                      </w:r>
                    </w:p>
                    <w:p w14:paraId="0F7B1643" w14:textId="77777777" w:rsidR="0073117A" w:rsidRDefault="0073117A" w:rsidP="000012D2">
                      <w:pPr>
                        <w:jc w:val="center"/>
                      </w:pPr>
                    </w:p>
                  </w:txbxContent>
                </v:textbox>
                <w10:wrap type="square" anchorx="margin"/>
              </v:shape>
            </w:pict>
          </mc:Fallback>
        </mc:AlternateContent>
      </w:r>
      <w:r w:rsidRPr="008911D8">
        <w:rPr>
          <w:rFonts w:cs="Arial"/>
          <w:szCs w:val="22"/>
        </w:rPr>
        <w:t xml:space="preserve">Having considered the </w:t>
      </w:r>
      <w:r>
        <w:rPr>
          <w:rFonts w:cs="Arial"/>
          <w:szCs w:val="22"/>
        </w:rPr>
        <w:t>submissions</w:t>
      </w:r>
      <w:r w:rsidRPr="008911D8">
        <w:rPr>
          <w:rFonts w:cs="Arial"/>
          <w:szCs w:val="22"/>
        </w:rPr>
        <w:t xml:space="preserve"> and weighed all aspects of the assessment against the statutory requirements including the </w:t>
      </w:r>
      <w:r>
        <w:rPr>
          <w:rFonts w:cs="Arial"/>
          <w:szCs w:val="22"/>
        </w:rPr>
        <w:t>m</w:t>
      </w:r>
      <w:r w:rsidRPr="008911D8">
        <w:rPr>
          <w:rFonts w:cs="Arial"/>
          <w:szCs w:val="22"/>
        </w:rPr>
        <w:t xml:space="preserve">inisterial policy guidelines, FSANZ </w:t>
      </w:r>
      <w:r>
        <w:rPr>
          <w:rFonts w:cs="Arial"/>
          <w:szCs w:val="22"/>
        </w:rPr>
        <w:t>approved</w:t>
      </w:r>
      <w:r w:rsidRPr="008911D8">
        <w:rPr>
          <w:rFonts w:cs="Arial"/>
          <w:szCs w:val="22"/>
        </w:rPr>
        <w:t xml:space="preserve"> </w:t>
      </w:r>
      <w:r w:rsidR="003F56FE">
        <w:rPr>
          <w:rFonts w:cs="Arial"/>
          <w:szCs w:val="22"/>
        </w:rPr>
        <w:t xml:space="preserve">the </w:t>
      </w:r>
      <w:r>
        <w:rPr>
          <w:rFonts w:cs="Arial"/>
          <w:szCs w:val="22"/>
        </w:rPr>
        <w:t xml:space="preserve">draft </w:t>
      </w:r>
      <w:r w:rsidRPr="008911D8">
        <w:rPr>
          <w:rFonts w:cs="Arial"/>
          <w:szCs w:val="22"/>
        </w:rPr>
        <w:t xml:space="preserve">variation </w:t>
      </w:r>
      <w:r w:rsidR="003F56FE" w:rsidRPr="008911D8">
        <w:rPr>
          <w:rFonts w:cs="Arial"/>
          <w:szCs w:val="22"/>
        </w:rPr>
        <w:t>to the Code</w:t>
      </w:r>
      <w:r w:rsidR="003F56FE">
        <w:rPr>
          <w:rFonts w:cs="Arial"/>
          <w:szCs w:val="22"/>
        </w:rPr>
        <w:t xml:space="preserve"> with one amendment. The amendment was to correct a typographical error.</w:t>
      </w:r>
    </w:p>
    <w:p w14:paraId="6E123D72" w14:textId="77777777" w:rsidR="000012D2" w:rsidRDefault="000012D2" w:rsidP="000012D2"/>
    <w:p w14:paraId="4CCC1FF8" w14:textId="77777777" w:rsidR="000012D2" w:rsidRPr="003A01FB" w:rsidRDefault="000012D2" w:rsidP="000012D2"/>
    <w:p w14:paraId="10A094A5" w14:textId="77777777" w:rsidR="00BD6D1D" w:rsidRDefault="00BD6D1D" w:rsidP="00D470DD"/>
    <w:p w14:paraId="143F9864" w14:textId="77777777" w:rsidR="00C836FF" w:rsidRDefault="00C836FF" w:rsidP="002421C1">
      <w:pPr>
        <w:pStyle w:val="Heading1"/>
      </w:pPr>
      <w:r>
        <w:br w:type="page"/>
      </w:r>
    </w:p>
    <w:p w14:paraId="35BC0B7B" w14:textId="77777777" w:rsidR="0019544D" w:rsidRDefault="0019544D" w:rsidP="0019544D">
      <w:pPr>
        <w:pStyle w:val="Heading1"/>
      </w:pPr>
      <w:bookmarkStart w:id="11" w:name="_Toc529357568"/>
      <w:bookmarkStart w:id="12" w:name="_Toc300933417"/>
      <w:bookmarkStart w:id="13" w:name="_Toc370223464"/>
      <w:bookmarkStart w:id="14" w:name="_Toc22303654"/>
      <w:bookmarkStart w:id="15" w:name="_Toc22650317"/>
      <w:r>
        <w:t>Glossary of terms</w:t>
      </w:r>
      <w:bookmarkEnd w:id="11"/>
    </w:p>
    <w:tbl>
      <w:tblPr>
        <w:tblStyle w:val="Table"/>
        <w:tblW w:w="0" w:type="auto"/>
        <w:tblLook w:val="04A0" w:firstRow="1" w:lastRow="0" w:firstColumn="1" w:lastColumn="0" w:noHBand="0" w:noVBand="1"/>
        <w:tblDescription w:val="Glossary of terms"/>
      </w:tblPr>
      <w:tblGrid>
        <w:gridCol w:w="1555"/>
        <w:gridCol w:w="7505"/>
      </w:tblGrid>
      <w:tr w:rsidR="0019544D" w14:paraId="3D463365" w14:textId="77777777" w:rsidTr="0012254D">
        <w:trPr>
          <w:cnfStyle w:val="100000000000" w:firstRow="1" w:lastRow="0" w:firstColumn="0" w:lastColumn="0" w:oddVBand="0" w:evenVBand="0" w:oddHBand="0" w:evenHBand="0" w:firstRowFirstColumn="0" w:firstRowLastColumn="0" w:lastRowFirstColumn="0" w:lastRowLastColumn="0"/>
          <w:tblHeader/>
        </w:trPr>
        <w:tc>
          <w:tcPr>
            <w:tcW w:w="1555" w:type="dxa"/>
          </w:tcPr>
          <w:p w14:paraId="0A1141D5" w14:textId="77777777" w:rsidR="0019544D" w:rsidRDefault="0019544D" w:rsidP="0012254D"/>
        </w:tc>
        <w:tc>
          <w:tcPr>
            <w:tcW w:w="7505" w:type="dxa"/>
          </w:tcPr>
          <w:p w14:paraId="53173B2E" w14:textId="77777777" w:rsidR="0019544D" w:rsidRDefault="0019544D" w:rsidP="0012254D"/>
        </w:tc>
      </w:tr>
      <w:tr w:rsidR="0019544D" w14:paraId="0499B72C" w14:textId="77777777" w:rsidTr="0012254D">
        <w:trPr>
          <w:cnfStyle w:val="000000100000" w:firstRow="0" w:lastRow="0" w:firstColumn="0" w:lastColumn="0" w:oddVBand="0" w:evenVBand="0" w:oddHBand="1" w:evenHBand="0" w:firstRowFirstColumn="0" w:firstRowLastColumn="0" w:lastRowFirstColumn="0" w:lastRowLastColumn="0"/>
        </w:trPr>
        <w:tc>
          <w:tcPr>
            <w:tcW w:w="1555" w:type="dxa"/>
          </w:tcPr>
          <w:p w14:paraId="492E81CF" w14:textId="77777777" w:rsidR="0019544D" w:rsidRDefault="0019544D" w:rsidP="0012254D">
            <w:r>
              <w:t>2’-FL</w:t>
            </w:r>
          </w:p>
        </w:tc>
        <w:tc>
          <w:tcPr>
            <w:tcW w:w="7505" w:type="dxa"/>
          </w:tcPr>
          <w:p w14:paraId="1836AD0E" w14:textId="77777777" w:rsidR="0019544D" w:rsidRDefault="0019544D" w:rsidP="0012254D">
            <w:r w:rsidRPr="00B55354">
              <w:rPr>
                <w:szCs w:val="20"/>
              </w:rPr>
              <w:t>2’</w:t>
            </w:r>
            <w:r>
              <w:rPr>
                <w:rFonts w:ascii="MSDDRU+Calibri" w:hAnsi="MSDDRU+Calibri" w:cs="MSDDRU+Calibri"/>
                <w:szCs w:val="22"/>
              </w:rPr>
              <w:t>-</w:t>
            </w:r>
            <w:r>
              <w:rPr>
                <w:rFonts w:ascii="IUDFNC+Calibri-Italic" w:hAnsi="IUDFNC+Calibri-Italic" w:cs="IUDFNC+Calibri-Italic"/>
                <w:i/>
                <w:iCs/>
                <w:szCs w:val="22"/>
              </w:rPr>
              <w:t>O</w:t>
            </w:r>
            <w:r>
              <w:rPr>
                <w:rFonts w:ascii="MSDDRU+Calibri" w:hAnsi="MSDDRU+Calibri" w:cs="MSDDRU+Calibri"/>
                <w:szCs w:val="22"/>
              </w:rPr>
              <w:t>-</w:t>
            </w:r>
            <w:r>
              <w:rPr>
                <w:szCs w:val="22"/>
              </w:rPr>
              <w:t>fucosyllactose</w:t>
            </w:r>
          </w:p>
        </w:tc>
      </w:tr>
      <w:tr w:rsidR="0019544D" w14:paraId="0F8D6F44" w14:textId="77777777" w:rsidTr="0012254D">
        <w:trPr>
          <w:cnfStyle w:val="000000010000" w:firstRow="0" w:lastRow="0" w:firstColumn="0" w:lastColumn="0" w:oddVBand="0" w:evenVBand="0" w:oddHBand="0" w:evenHBand="1" w:firstRowFirstColumn="0" w:firstRowLastColumn="0" w:lastRowFirstColumn="0" w:lastRowLastColumn="0"/>
        </w:trPr>
        <w:tc>
          <w:tcPr>
            <w:tcW w:w="1555" w:type="dxa"/>
          </w:tcPr>
          <w:p w14:paraId="0AF853EF" w14:textId="77777777" w:rsidR="0019544D" w:rsidRDefault="0019544D" w:rsidP="0012254D">
            <w:r>
              <w:t>FSFYC</w:t>
            </w:r>
          </w:p>
        </w:tc>
        <w:tc>
          <w:tcPr>
            <w:tcW w:w="7505" w:type="dxa"/>
          </w:tcPr>
          <w:p w14:paraId="73B8B1E4" w14:textId="77777777" w:rsidR="0019544D" w:rsidRDefault="0019544D" w:rsidP="0012254D">
            <w:r>
              <w:t>F</w:t>
            </w:r>
            <w:r w:rsidRPr="002E543B">
              <w:t>ormulated supplementary foods for young children</w:t>
            </w:r>
            <w:r>
              <w:t xml:space="preserve"> (or ‘toddler milk’)</w:t>
            </w:r>
          </w:p>
        </w:tc>
      </w:tr>
      <w:tr w:rsidR="0019544D" w14:paraId="39D7A6C5" w14:textId="77777777" w:rsidTr="0012254D">
        <w:trPr>
          <w:cnfStyle w:val="000000100000" w:firstRow="0" w:lastRow="0" w:firstColumn="0" w:lastColumn="0" w:oddVBand="0" w:evenVBand="0" w:oddHBand="1" w:evenHBand="0" w:firstRowFirstColumn="0" w:firstRowLastColumn="0" w:lastRowFirstColumn="0" w:lastRowLastColumn="0"/>
        </w:trPr>
        <w:tc>
          <w:tcPr>
            <w:tcW w:w="1555" w:type="dxa"/>
          </w:tcPr>
          <w:p w14:paraId="566E39B7" w14:textId="2FACEB92" w:rsidR="0019544D" w:rsidRDefault="0019544D" w:rsidP="0012254D">
            <w:r w:rsidRPr="0019544D">
              <w:t>Follow-up Formula’</w:t>
            </w:r>
          </w:p>
        </w:tc>
        <w:tc>
          <w:tcPr>
            <w:tcW w:w="7505" w:type="dxa"/>
          </w:tcPr>
          <w:p w14:paraId="5DA91000" w14:textId="20F45DB9" w:rsidR="0019544D" w:rsidRDefault="0019544D" w:rsidP="0019544D">
            <w:r>
              <w:t>D</w:t>
            </w:r>
            <w:r w:rsidRPr="0019544D">
              <w:t>efined by Codex as a food intended for use as a liquid part of the weaning diet for the infant from the 6th month on and for young children (12-36 months).</w:t>
            </w:r>
          </w:p>
        </w:tc>
      </w:tr>
      <w:tr w:rsidR="0019544D" w14:paraId="52FAFFD0" w14:textId="77777777" w:rsidTr="0012254D">
        <w:trPr>
          <w:cnfStyle w:val="000000010000" w:firstRow="0" w:lastRow="0" w:firstColumn="0" w:lastColumn="0" w:oddVBand="0" w:evenVBand="0" w:oddHBand="0" w:evenHBand="1" w:firstRowFirstColumn="0" w:firstRowLastColumn="0" w:lastRowFirstColumn="0" w:lastRowLastColumn="0"/>
        </w:trPr>
        <w:tc>
          <w:tcPr>
            <w:tcW w:w="1555" w:type="dxa"/>
          </w:tcPr>
          <w:p w14:paraId="3FF24BDC" w14:textId="77777777" w:rsidR="0019544D" w:rsidRDefault="0019544D" w:rsidP="0012254D">
            <w:r>
              <w:t>GOS</w:t>
            </w:r>
          </w:p>
        </w:tc>
        <w:tc>
          <w:tcPr>
            <w:tcW w:w="7505" w:type="dxa"/>
          </w:tcPr>
          <w:p w14:paraId="4D550DB0" w14:textId="77777777" w:rsidR="0019544D" w:rsidRDefault="0019544D" w:rsidP="0012254D">
            <w:r>
              <w:t>Galacto-oligosaccharide</w:t>
            </w:r>
          </w:p>
        </w:tc>
      </w:tr>
      <w:tr w:rsidR="0019544D" w14:paraId="2EA2F4C6" w14:textId="77777777" w:rsidTr="0012254D">
        <w:trPr>
          <w:cnfStyle w:val="000000100000" w:firstRow="0" w:lastRow="0" w:firstColumn="0" w:lastColumn="0" w:oddVBand="0" w:evenVBand="0" w:oddHBand="1" w:evenHBand="0" w:firstRowFirstColumn="0" w:firstRowLastColumn="0" w:lastRowFirstColumn="0" w:lastRowLastColumn="0"/>
        </w:trPr>
        <w:tc>
          <w:tcPr>
            <w:tcW w:w="1555" w:type="dxa"/>
          </w:tcPr>
          <w:p w14:paraId="0234B777" w14:textId="77777777" w:rsidR="0019544D" w:rsidRDefault="0019544D" w:rsidP="0012254D">
            <w:r>
              <w:t>HMO</w:t>
            </w:r>
          </w:p>
        </w:tc>
        <w:tc>
          <w:tcPr>
            <w:tcW w:w="7505" w:type="dxa"/>
          </w:tcPr>
          <w:p w14:paraId="3B6F0F19" w14:textId="77777777" w:rsidR="0019544D" w:rsidRDefault="0019544D" w:rsidP="0012254D">
            <w:r>
              <w:t>Human milk oligosaccharide</w:t>
            </w:r>
          </w:p>
        </w:tc>
      </w:tr>
      <w:tr w:rsidR="0019544D" w14:paraId="1AF65E0F" w14:textId="77777777" w:rsidTr="0012254D">
        <w:trPr>
          <w:cnfStyle w:val="000000010000" w:firstRow="0" w:lastRow="0" w:firstColumn="0" w:lastColumn="0" w:oddVBand="0" w:evenVBand="0" w:oddHBand="0" w:evenHBand="1" w:firstRowFirstColumn="0" w:firstRowLastColumn="0" w:lastRowFirstColumn="0" w:lastRowLastColumn="0"/>
        </w:trPr>
        <w:tc>
          <w:tcPr>
            <w:tcW w:w="1555" w:type="dxa"/>
          </w:tcPr>
          <w:p w14:paraId="38D285C8" w14:textId="0D3F4F45" w:rsidR="0019544D" w:rsidRDefault="0019544D" w:rsidP="0012254D">
            <w:r>
              <w:t>HiMO</w:t>
            </w:r>
          </w:p>
        </w:tc>
        <w:tc>
          <w:tcPr>
            <w:tcW w:w="7505" w:type="dxa"/>
          </w:tcPr>
          <w:p w14:paraId="7F632E5B" w14:textId="2862AD48" w:rsidR="0019544D" w:rsidRDefault="0019544D" w:rsidP="0012254D">
            <w:r>
              <w:t xml:space="preserve">Human identical milk oligosaccharide </w:t>
            </w:r>
          </w:p>
        </w:tc>
      </w:tr>
      <w:tr w:rsidR="00215FB2" w14:paraId="140DAC4E" w14:textId="77777777" w:rsidTr="0012254D">
        <w:trPr>
          <w:cnfStyle w:val="000000100000" w:firstRow="0" w:lastRow="0" w:firstColumn="0" w:lastColumn="0" w:oddVBand="0" w:evenVBand="0" w:oddHBand="1" w:evenHBand="0" w:firstRowFirstColumn="0" w:firstRowLastColumn="0" w:lastRowFirstColumn="0" w:lastRowLastColumn="0"/>
        </w:trPr>
        <w:tc>
          <w:tcPr>
            <w:tcW w:w="1555" w:type="dxa"/>
          </w:tcPr>
          <w:p w14:paraId="2A97DA71" w14:textId="69BE59A8" w:rsidR="00215FB2" w:rsidRDefault="00215FB2" w:rsidP="0012254D">
            <w:r>
              <w:t>ITF</w:t>
            </w:r>
          </w:p>
        </w:tc>
        <w:tc>
          <w:tcPr>
            <w:tcW w:w="7505" w:type="dxa"/>
          </w:tcPr>
          <w:p w14:paraId="1EA3FC2A" w14:textId="0466535E" w:rsidR="00215FB2" w:rsidRDefault="00215FB2" w:rsidP="00215FB2">
            <w:r w:rsidRPr="00844935">
              <w:rPr>
                <w:szCs w:val="22"/>
              </w:rPr>
              <w:t xml:space="preserve">inulin-type fructans </w:t>
            </w:r>
          </w:p>
        </w:tc>
      </w:tr>
      <w:tr w:rsidR="0019544D" w14:paraId="320D0BF1" w14:textId="77777777" w:rsidTr="0012254D">
        <w:trPr>
          <w:cnfStyle w:val="000000010000" w:firstRow="0" w:lastRow="0" w:firstColumn="0" w:lastColumn="0" w:oddVBand="0" w:evenVBand="0" w:oddHBand="0" w:evenHBand="1" w:firstRowFirstColumn="0" w:firstRowLastColumn="0" w:lastRowFirstColumn="0" w:lastRowLastColumn="0"/>
        </w:trPr>
        <w:tc>
          <w:tcPr>
            <w:tcW w:w="1555" w:type="dxa"/>
          </w:tcPr>
          <w:p w14:paraId="3FF4B1F2" w14:textId="77777777" w:rsidR="0019544D" w:rsidRDefault="0019544D" w:rsidP="0012254D">
            <w:r>
              <w:t>LNnT</w:t>
            </w:r>
          </w:p>
        </w:tc>
        <w:tc>
          <w:tcPr>
            <w:tcW w:w="7505" w:type="dxa"/>
          </w:tcPr>
          <w:p w14:paraId="295B63B6" w14:textId="77777777" w:rsidR="0019544D" w:rsidRDefault="0019544D" w:rsidP="0012254D">
            <w:r>
              <w:t>L</w:t>
            </w:r>
            <w:r w:rsidRPr="00571B90">
              <w:t>acto-</w:t>
            </w:r>
            <w:r w:rsidRPr="00571B90">
              <w:rPr>
                <w:i/>
              </w:rPr>
              <w:t>N</w:t>
            </w:r>
            <w:r w:rsidRPr="00571B90">
              <w:t>-neotetraose</w:t>
            </w:r>
          </w:p>
        </w:tc>
      </w:tr>
      <w:tr w:rsidR="00A87490" w14:paraId="32799A26" w14:textId="77777777" w:rsidTr="0012254D">
        <w:trPr>
          <w:cnfStyle w:val="000000100000" w:firstRow="0" w:lastRow="0" w:firstColumn="0" w:lastColumn="0" w:oddVBand="0" w:evenVBand="0" w:oddHBand="1" w:evenHBand="0" w:firstRowFirstColumn="0" w:firstRowLastColumn="0" w:lastRowFirstColumn="0" w:lastRowLastColumn="0"/>
        </w:trPr>
        <w:tc>
          <w:tcPr>
            <w:tcW w:w="1555" w:type="dxa"/>
          </w:tcPr>
          <w:p w14:paraId="674D23E6" w14:textId="2A7060A8" w:rsidR="00A87490" w:rsidRDefault="00A87490" w:rsidP="0012254D">
            <w:r>
              <w:t xml:space="preserve">Mature milk </w:t>
            </w:r>
          </w:p>
        </w:tc>
        <w:tc>
          <w:tcPr>
            <w:tcW w:w="7505" w:type="dxa"/>
          </w:tcPr>
          <w:p w14:paraId="15672EC3" w14:textId="4A2F18DA" w:rsidR="00A87490" w:rsidRDefault="00A87490" w:rsidP="00A87490">
            <w:r>
              <w:rPr>
                <w:rFonts w:cs="Arial"/>
                <w:sz w:val="20"/>
                <w:szCs w:val="20"/>
              </w:rPr>
              <w:t xml:space="preserve">In this report refers to </w:t>
            </w:r>
            <w:r w:rsidRPr="005F5D83">
              <w:rPr>
                <w:rFonts w:cs="Arial"/>
                <w:sz w:val="20"/>
                <w:szCs w:val="20"/>
                <w:lang w:bidi="ar-SA"/>
              </w:rPr>
              <w:t xml:space="preserve">human milk provided from a mother’s breast </w:t>
            </w:r>
            <w:r>
              <w:rPr>
                <w:rFonts w:cs="Arial"/>
                <w:sz w:val="20"/>
                <w:szCs w:val="20"/>
                <w:lang w:bidi="ar-SA"/>
              </w:rPr>
              <w:t xml:space="preserve">from 60 days post-partum </w:t>
            </w:r>
            <w:r w:rsidRPr="005F5D83">
              <w:rPr>
                <w:rFonts w:cs="Arial"/>
                <w:sz w:val="20"/>
                <w:szCs w:val="20"/>
                <w:lang w:bidi="ar-SA"/>
              </w:rPr>
              <w:t>to distinguish it from colostrum.</w:t>
            </w:r>
          </w:p>
        </w:tc>
      </w:tr>
      <w:tr w:rsidR="0019544D" w14:paraId="20C995C4" w14:textId="77777777" w:rsidTr="0012254D">
        <w:trPr>
          <w:cnfStyle w:val="000000010000" w:firstRow="0" w:lastRow="0" w:firstColumn="0" w:lastColumn="0" w:oddVBand="0" w:evenVBand="0" w:oddHBand="0" w:evenHBand="1" w:firstRowFirstColumn="0" w:firstRowLastColumn="0" w:lastRowFirstColumn="0" w:lastRowLastColumn="0"/>
        </w:trPr>
        <w:tc>
          <w:tcPr>
            <w:tcW w:w="1555" w:type="dxa"/>
          </w:tcPr>
          <w:p w14:paraId="12C8286D" w14:textId="77777777" w:rsidR="0019544D" w:rsidRDefault="0019544D" w:rsidP="0012254D">
            <w:r>
              <w:t>scFOS</w:t>
            </w:r>
          </w:p>
        </w:tc>
        <w:tc>
          <w:tcPr>
            <w:tcW w:w="7505" w:type="dxa"/>
          </w:tcPr>
          <w:p w14:paraId="23C39220" w14:textId="77777777" w:rsidR="0019544D" w:rsidRDefault="0019544D" w:rsidP="0012254D">
            <w:r>
              <w:t>Short-chain fructo-oligosaccharide</w:t>
            </w:r>
          </w:p>
        </w:tc>
      </w:tr>
    </w:tbl>
    <w:p w14:paraId="70834642" w14:textId="77777777" w:rsidR="0019544D" w:rsidRDefault="0019544D" w:rsidP="0019544D"/>
    <w:p w14:paraId="49C197C0" w14:textId="77777777" w:rsidR="0019544D" w:rsidRDefault="0019544D" w:rsidP="00CE59AA">
      <w:pPr>
        <w:pStyle w:val="Heading1"/>
      </w:pPr>
      <w:r>
        <w:br w:type="page"/>
      </w:r>
    </w:p>
    <w:p w14:paraId="66C5FAE9" w14:textId="14F177C6" w:rsidR="007A53BF" w:rsidRPr="007A53BF" w:rsidRDefault="007A53BF" w:rsidP="00CE59AA">
      <w:pPr>
        <w:pStyle w:val="Heading1"/>
      </w:pPr>
      <w:r w:rsidRPr="007A53BF">
        <w:t>1</w:t>
      </w:r>
      <w:r w:rsidRPr="007A53BF">
        <w:tab/>
        <w:t>Introduction</w:t>
      </w:r>
      <w:bookmarkEnd w:id="12"/>
      <w:bookmarkEnd w:id="13"/>
      <w:bookmarkEnd w:id="14"/>
      <w:bookmarkEnd w:id="15"/>
    </w:p>
    <w:p w14:paraId="090CD30C" w14:textId="54AA3F2B" w:rsidR="001C5AC5" w:rsidRDefault="001C5AC5" w:rsidP="001C5AC5">
      <w:pPr>
        <w:rPr>
          <w:lang w:bidi="ar-SA"/>
        </w:rPr>
      </w:pPr>
      <w:bookmarkStart w:id="16" w:name="_Toc300761890"/>
      <w:bookmarkStart w:id="17" w:name="_Toc300933419"/>
      <w:bookmarkStart w:id="18" w:name="_Toc370223465"/>
      <w:r>
        <w:rPr>
          <w:lang w:bidi="ar-SA"/>
        </w:rPr>
        <w:t>Infants are a vulnerable population group. Breastfeeding is the recommended way to feed an infant; however a safe and nutritious substitute for breast milk is required for infants who are not breastfed.</w:t>
      </w:r>
    </w:p>
    <w:p w14:paraId="54379A87" w14:textId="6AAEA7E5" w:rsidR="007A53BF" w:rsidRPr="00CE59AA" w:rsidRDefault="007A53BF" w:rsidP="00CE59AA">
      <w:pPr>
        <w:pStyle w:val="Heading2"/>
        <w:rPr>
          <w:color w:val="FF0000"/>
        </w:rPr>
      </w:pPr>
      <w:bookmarkStart w:id="19" w:name="_Toc22303655"/>
      <w:bookmarkStart w:id="20" w:name="_Toc22650318"/>
      <w:r w:rsidRPr="007A53BF">
        <w:t>1.1</w:t>
      </w:r>
      <w:r w:rsidRPr="007A53BF">
        <w:tab/>
        <w:t>The Applicant</w:t>
      </w:r>
      <w:bookmarkEnd w:id="16"/>
      <w:bookmarkEnd w:id="19"/>
      <w:bookmarkEnd w:id="20"/>
      <w:r w:rsidRPr="007A53BF">
        <w:t xml:space="preserve"> </w:t>
      </w:r>
      <w:bookmarkEnd w:id="17"/>
      <w:bookmarkEnd w:id="18"/>
    </w:p>
    <w:p w14:paraId="10D25A13" w14:textId="77777777" w:rsidR="00020CB3" w:rsidRPr="002F458B" w:rsidRDefault="00020CB3" w:rsidP="00020CB3">
      <w:bookmarkStart w:id="21" w:name="_Toc300761891"/>
      <w:bookmarkStart w:id="22" w:name="_Toc300933420"/>
      <w:bookmarkStart w:id="23" w:name="_Toc370223466"/>
      <w:r>
        <w:t>The a</w:t>
      </w:r>
      <w:r w:rsidRPr="002F458B">
        <w:t>pplication was submitted by Glycom A/S</w:t>
      </w:r>
      <w:r>
        <w:t xml:space="preserve"> (Glycom), a Danish food ingredient manufacturer.</w:t>
      </w:r>
    </w:p>
    <w:p w14:paraId="74F19653" w14:textId="58A3962D" w:rsidR="007A53BF" w:rsidRPr="007A53BF" w:rsidRDefault="007A53BF" w:rsidP="00CE59AA">
      <w:pPr>
        <w:pStyle w:val="Heading2"/>
      </w:pPr>
      <w:bookmarkStart w:id="24" w:name="_Toc22303656"/>
      <w:bookmarkStart w:id="25" w:name="_Toc22650319"/>
      <w:r w:rsidRPr="007A53BF">
        <w:t>1.2</w:t>
      </w:r>
      <w:r w:rsidRPr="007A53BF">
        <w:tab/>
      </w:r>
      <w:r w:rsidRPr="00E44E14">
        <w:t>The Application</w:t>
      </w:r>
      <w:bookmarkEnd w:id="21"/>
      <w:bookmarkEnd w:id="22"/>
      <w:bookmarkEnd w:id="23"/>
      <w:bookmarkEnd w:id="24"/>
      <w:bookmarkEnd w:id="25"/>
    </w:p>
    <w:p w14:paraId="306B2603" w14:textId="33BD626C" w:rsidR="00020CB3" w:rsidRDefault="00020CB3" w:rsidP="00020CB3">
      <w:pPr>
        <w:rPr>
          <w:szCs w:val="22"/>
        </w:rPr>
      </w:pPr>
      <w:bookmarkStart w:id="26" w:name="_Toc300761892"/>
      <w:bookmarkStart w:id="27" w:name="_Toc300933421"/>
      <w:bookmarkStart w:id="28" w:name="_Toc370223467"/>
      <w:r>
        <w:rPr>
          <w:szCs w:val="22"/>
        </w:rPr>
        <w:t xml:space="preserve">The application sought to amend the </w:t>
      </w:r>
      <w:r w:rsidRPr="00E1609C">
        <w:rPr>
          <w:szCs w:val="22"/>
        </w:rPr>
        <w:t>Australia New Zealand Food Standards Code</w:t>
      </w:r>
      <w:r>
        <w:rPr>
          <w:szCs w:val="22"/>
        </w:rPr>
        <w:t xml:space="preserve"> (the Code) to permit </w:t>
      </w:r>
      <w:r w:rsidRPr="00830414">
        <w:rPr>
          <w:szCs w:val="22"/>
        </w:rPr>
        <w:t xml:space="preserve">the </w:t>
      </w:r>
      <w:r w:rsidRPr="00843230">
        <w:rPr>
          <w:szCs w:val="22"/>
        </w:rPr>
        <w:t>voluntary addition</w:t>
      </w:r>
      <w:r w:rsidRPr="00830414">
        <w:rPr>
          <w:szCs w:val="22"/>
        </w:rPr>
        <w:t xml:space="preserve"> of</w:t>
      </w:r>
      <w:r>
        <w:rPr>
          <w:szCs w:val="22"/>
        </w:rPr>
        <w:t xml:space="preserve"> 2′-</w:t>
      </w:r>
      <w:r w:rsidRPr="00C2686C">
        <w:rPr>
          <w:szCs w:val="22"/>
        </w:rPr>
        <w:t>O</w:t>
      </w:r>
      <w:r>
        <w:rPr>
          <w:szCs w:val="22"/>
        </w:rPr>
        <w:t>-Fucosyllactose (2′-FL), either alone or in combination with Lacto-</w:t>
      </w:r>
      <w:r w:rsidRPr="00C2686C">
        <w:rPr>
          <w:szCs w:val="22"/>
        </w:rPr>
        <w:t>N</w:t>
      </w:r>
      <w:r>
        <w:rPr>
          <w:szCs w:val="22"/>
        </w:rPr>
        <w:t xml:space="preserve">-neotetraose (LNnT), </w:t>
      </w:r>
      <w:r w:rsidRPr="00830414">
        <w:rPr>
          <w:szCs w:val="22"/>
        </w:rPr>
        <w:t>in infant formula</w:t>
      </w:r>
      <w:r>
        <w:rPr>
          <w:szCs w:val="22"/>
        </w:rPr>
        <w:t xml:space="preserve"> products</w:t>
      </w:r>
      <w:r>
        <w:rPr>
          <w:rStyle w:val="FootnoteReference"/>
          <w:szCs w:val="22"/>
        </w:rPr>
        <w:footnoteReference w:id="3"/>
      </w:r>
      <w:r>
        <w:rPr>
          <w:szCs w:val="22"/>
        </w:rPr>
        <w:t xml:space="preserve"> </w:t>
      </w:r>
      <w:r w:rsidRPr="00830414">
        <w:rPr>
          <w:szCs w:val="22"/>
        </w:rPr>
        <w:t>and formulated supplementary foods for young children (FSFYC)</w:t>
      </w:r>
      <w:r>
        <w:rPr>
          <w:rStyle w:val="FootnoteReference"/>
          <w:szCs w:val="22"/>
        </w:rPr>
        <w:footnoteReference w:id="4"/>
      </w:r>
      <w:r>
        <w:rPr>
          <w:szCs w:val="22"/>
        </w:rPr>
        <w:t xml:space="preserve">. 2′-FL and LNnT are oligosaccharides </w:t>
      </w:r>
      <w:r w:rsidR="00F93522">
        <w:rPr>
          <w:szCs w:val="22"/>
        </w:rPr>
        <w:t xml:space="preserve">that </w:t>
      </w:r>
      <w:r w:rsidRPr="004F1B4D">
        <w:rPr>
          <w:szCs w:val="22"/>
        </w:rPr>
        <w:t xml:space="preserve">naturally </w:t>
      </w:r>
      <w:r w:rsidR="00F93522">
        <w:rPr>
          <w:szCs w:val="22"/>
        </w:rPr>
        <w:t xml:space="preserve">occur </w:t>
      </w:r>
      <w:r w:rsidRPr="004F1B4D">
        <w:rPr>
          <w:szCs w:val="22"/>
        </w:rPr>
        <w:t xml:space="preserve">in </w:t>
      </w:r>
      <w:r>
        <w:rPr>
          <w:szCs w:val="22"/>
        </w:rPr>
        <w:t xml:space="preserve">human </w:t>
      </w:r>
      <w:r w:rsidRPr="004F1B4D">
        <w:rPr>
          <w:szCs w:val="22"/>
        </w:rPr>
        <w:t>milk.</w:t>
      </w:r>
      <w:r>
        <w:rPr>
          <w:szCs w:val="22"/>
        </w:rPr>
        <w:t xml:space="preserve"> The application is specifically for 2′-FL and LNnT produced by microbial </w:t>
      </w:r>
      <w:r w:rsidRPr="007B3A47">
        <w:rPr>
          <w:szCs w:val="22"/>
        </w:rPr>
        <w:t xml:space="preserve">fermentation </w:t>
      </w:r>
      <w:r>
        <w:rPr>
          <w:szCs w:val="22"/>
        </w:rPr>
        <w:t xml:space="preserve">from </w:t>
      </w:r>
      <w:r w:rsidRPr="00E468C2">
        <w:rPr>
          <w:szCs w:val="22"/>
        </w:rPr>
        <w:t>genetically modified (GM</w:t>
      </w:r>
      <w:r w:rsidRPr="002526D1">
        <w:rPr>
          <w:szCs w:val="22"/>
        </w:rPr>
        <w:t xml:space="preserve">) </w:t>
      </w:r>
      <w:r w:rsidRPr="001441C1">
        <w:rPr>
          <w:i/>
        </w:rPr>
        <w:t>Escherichia coli</w:t>
      </w:r>
      <w:r w:rsidRPr="001441C1">
        <w:t xml:space="preserve"> </w:t>
      </w:r>
      <w:r w:rsidR="00AF53B3">
        <w:t xml:space="preserve">production strains </w:t>
      </w:r>
      <w:r w:rsidR="00AF53B3" w:rsidRPr="00F74F4E">
        <w:t>SCR6</w:t>
      </w:r>
      <w:r w:rsidR="00AF53B3">
        <w:t xml:space="preserve"> and MP572, respectively. </w:t>
      </w:r>
      <w:r>
        <w:rPr>
          <w:szCs w:val="22"/>
        </w:rPr>
        <w:t>The a</w:t>
      </w:r>
      <w:r w:rsidRPr="001441C1">
        <w:rPr>
          <w:szCs w:val="22"/>
        </w:rPr>
        <w:t>pplicant claim</w:t>
      </w:r>
      <w:r>
        <w:rPr>
          <w:szCs w:val="22"/>
        </w:rPr>
        <w:t xml:space="preserve">ed </w:t>
      </w:r>
      <w:r w:rsidRPr="001441C1">
        <w:rPr>
          <w:szCs w:val="22"/>
        </w:rPr>
        <w:t xml:space="preserve">these </w:t>
      </w:r>
      <w:r>
        <w:rPr>
          <w:szCs w:val="22"/>
        </w:rPr>
        <w:t xml:space="preserve">oligosaccharides produced by microbial fermentation </w:t>
      </w:r>
      <w:r w:rsidRPr="001441C1">
        <w:rPr>
          <w:szCs w:val="22"/>
        </w:rPr>
        <w:t>are structurally and chemically</w:t>
      </w:r>
      <w:r>
        <w:rPr>
          <w:szCs w:val="22"/>
        </w:rPr>
        <w:t xml:space="preserve"> identical to 2′-FL and LNnT found in human milk</w:t>
      </w:r>
      <w:r w:rsidRPr="002C305E">
        <w:rPr>
          <w:szCs w:val="22"/>
        </w:rPr>
        <w:t>.</w:t>
      </w:r>
      <w:r>
        <w:rPr>
          <w:szCs w:val="22"/>
        </w:rPr>
        <w:t xml:space="preserve"> </w:t>
      </w:r>
    </w:p>
    <w:p w14:paraId="199E08A6" w14:textId="77777777" w:rsidR="00020CB3" w:rsidRDefault="00020CB3" w:rsidP="00020CB3">
      <w:pPr>
        <w:rPr>
          <w:szCs w:val="22"/>
        </w:rPr>
      </w:pPr>
    </w:p>
    <w:p w14:paraId="5EBE8DB0" w14:textId="546C9AA5" w:rsidR="00020CB3" w:rsidRDefault="00020CB3" w:rsidP="00020CB3">
      <w:r>
        <w:rPr>
          <w:szCs w:val="22"/>
        </w:rPr>
        <w:t>Permission was sought for the addition of 1.2 g/L of 2′-FL alone, or with an additional 0.6 g/L of LNnT (i.e. totalling 1.8 g/L), to infant formula products and FSFYC</w:t>
      </w:r>
      <w:r>
        <w:rPr>
          <w:rStyle w:val="FootnoteReference"/>
          <w:szCs w:val="22"/>
        </w:rPr>
        <w:footnoteReference w:id="5"/>
      </w:r>
      <w:r>
        <w:rPr>
          <w:szCs w:val="22"/>
        </w:rPr>
        <w:t>.</w:t>
      </w:r>
      <w:r w:rsidRPr="00CC2765">
        <w:rPr>
          <w:szCs w:val="22"/>
        </w:rPr>
        <w:t xml:space="preserve"> </w:t>
      </w:r>
      <w:r>
        <w:rPr>
          <w:szCs w:val="22"/>
        </w:rPr>
        <w:t xml:space="preserve">The application stated </w:t>
      </w:r>
      <w:r w:rsidRPr="00543A2E">
        <w:rPr>
          <w:szCs w:val="22"/>
        </w:rPr>
        <w:t>these requested levels</w:t>
      </w:r>
      <w:r>
        <w:rPr>
          <w:szCs w:val="22"/>
        </w:rPr>
        <w:t xml:space="preserve"> are within the ranges of 2′-FL and LNnT found naturally in </w:t>
      </w:r>
      <w:r w:rsidRPr="00DB4ED2">
        <w:rPr>
          <w:szCs w:val="22"/>
        </w:rPr>
        <w:t>mature hu</w:t>
      </w:r>
      <w:r>
        <w:rPr>
          <w:szCs w:val="22"/>
        </w:rPr>
        <w:t xml:space="preserve">man milk. </w:t>
      </w:r>
      <w:r w:rsidRPr="002C305E">
        <w:rPr>
          <w:szCs w:val="22"/>
        </w:rPr>
        <w:t xml:space="preserve">The </w:t>
      </w:r>
      <w:r>
        <w:rPr>
          <w:szCs w:val="22"/>
        </w:rPr>
        <w:t xml:space="preserve">applicant’s </w:t>
      </w:r>
      <w:r w:rsidRPr="002C305E">
        <w:rPr>
          <w:szCs w:val="22"/>
        </w:rPr>
        <w:t xml:space="preserve">stated purpose </w:t>
      </w:r>
      <w:r>
        <w:rPr>
          <w:szCs w:val="22"/>
        </w:rPr>
        <w:t>was</w:t>
      </w:r>
      <w:r w:rsidRPr="002C305E">
        <w:rPr>
          <w:szCs w:val="22"/>
        </w:rPr>
        <w:t xml:space="preserve"> to better reflect the compositional profile of oligosaccharides of </w:t>
      </w:r>
      <w:r>
        <w:rPr>
          <w:szCs w:val="22"/>
        </w:rPr>
        <w:t xml:space="preserve">human </w:t>
      </w:r>
      <w:r w:rsidRPr="002C305E">
        <w:rPr>
          <w:szCs w:val="22"/>
        </w:rPr>
        <w:t>milk</w:t>
      </w:r>
      <w:r>
        <w:rPr>
          <w:szCs w:val="22"/>
        </w:rPr>
        <w:t xml:space="preserve">. 2′-FL and LNnT produced by microbial fermentation are purported to provide the following favourable health effects </w:t>
      </w:r>
      <w:r w:rsidR="00532A9F">
        <w:rPr>
          <w:szCs w:val="22"/>
        </w:rPr>
        <w:t xml:space="preserve">typically associated with the oligosaccharide component of </w:t>
      </w:r>
      <w:r>
        <w:rPr>
          <w:szCs w:val="22"/>
        </w:rPr>
        <w:t xml:space="preserve">human milk: </w:t>
      </w:r>
      <w:r>
        <w:t xml:space="preserve">anti-infective effect against pathogens; bifidogenic effect; immune modulation, improved intestinal barrier function and alleviation of allergic responses. </w:t>
      </w:r>
    </w:p>
    <w:p w14:paraId="4F4E7A6B" w14:textId="77777777" w:rsidR="00020CB3" w:rsidRPr="000372FC" w:rsidRDefault="00020CB3" w:rsidP="00020CB3">
      <w:pPr>
        <w:rPr>
          <w:szCs w:val="22"/>
        </w:rPr>
      </w:pPr>
    </w:p>
    <w:p w14:paraId="6ACDE62B" w14:textId="5BC1DA15" w:rsidR="00020CB3" w:rsidRDefault="00020CB3" w:rsidP="00020CB3">
      <w:pPr>
        <w:rPr>
          <w:szCs w:val="22"/>
        </w:rPr>
      </w:pPr>
      <w:r>
        <w:rPr>
          <w:szCs w:val="22"/>
        </w:rPr>
        <w:t>The a</w:t>
      </w:r>
      <w:r w:rsidRPr="00F151B9">
        <w:rPr>
          <w:szCs w:val="22"/>
        </w:rPr>
        <w:t xml:space="preserve">pplication </w:t>
      </w:r>
      <w:r>
        <w:rPr>
          <w:szCs w:val="22"/>
        </w:rPr>
        <w:t>sought</w:t>
      </w:r>
      <w:r w:rsidRPr="00F151B9">
        <w:rPr>
          <w:szCs w:val="22"/>
        </w:rPr>
        <w:t xml:space="preserve"> to include 2</w:t>
      </w:r>
      <w:r>
        <w:rPr>
          <w:szCs w:val="22"/>
        </w:rPr>
        <w:t>′</w:t>
      </w:r>
      <w:r w:rsidRPr="00F151B9">
        <w:rPr>
          <w:szCs w:val="22"/>
        </w:rPr>
        <w:t xml:space="preserve">-FL and LNnT </w:t>
      </w:r>
      <w:r>
        <w:rPr>
          <w:szCs w:val="22"/>
        </w:rPr>
        <w:t xml:space="preserve">as novel foods </w:t>
      </w:r>
      <w:r w:rsidRPr="00F151B9">
        <w:rPr>
          <w:szCs w:val="22"/>
        </w:rPr>
        <w:t>in the table to S25</w:t>
      </w:r>
      <w:r w:rsidRPr="00F151B9">
        <w:t>—</w:t>
      </w:r>
      <w:r w:rsidRPr="00F151B9">
        <w:rPr>
          <w:szCs w:val="22"/>
        </w:rPr>
        <w:t>2 of Schedule 25 (P</w:t>
      </w:r>
      <w:r>
        <w:rPr>
          <w:szCs w:val="22"/>
        </w:rPr>
        <w:t>ermitted novel foods) and noted amendments to Standard 2.9.1 (Infant formula products), Standard 2.9.3, Division 4 (Formulated supplementary foods for young children) and Schedule 3 (Identity and purity) may be required.</w:t>
      </w:r>
      <w:r w:rsidRPr="00DE2D85">
        <w:rPr>
          <w:szCs w:val="22"/>
        </w:rPr>
        <w:t xml:space="preserve"> </w:t>
      </w:r>
      <w:r>
        <w:rPr>
          <w:szCs w:val="22"/>
        </w:rPr>
        <w:t xml:space="preserve">The applicant also requested exclusive permission for their brand of 2′-FL and LNnT for a period of </w:t>
      </w:r>
      <w:r w:rsidRPr="0074044B">
        <w:rPr>
          <w:szCs w:val="22"/>
        </w:rPr>
        <w:t>15 months</w:t>
      </w:r>
      <w:r>
        <w:rPr>
          <w:szCs w:val="22"/>
        </w:rPr>
        <w:t xml:space="preserve"> after gazettal.</w:t>
      </w:r>
    </w:p>
    <w:p w14:paraId="4776E753" w14:textId="51905A02" w:rsidR="006045FA" w:rsidRPr="006045FA" w:rsidRDefault="006045FA" w:rsidP="00020CB3">
      <w:pPr>
        <w:rPr>
          <w:szCs w:val="22"/>
        </w:rPr>
      </w:pPr>
    </w:p>
    <w:p w14:paraId="534A0620" w14:textId="2CCD1A62" w:rsidR="006045FA" w:rsidRPr="006045FA" w:rsidRDefault="006045FA" w:rsidP="006045FA">
      <w:r w:rsidRPr="006045FA">
        <w:t xml:space="preserve">The Applicant </w:t>
      </w:r>
      <w:r w:rsidR="00DA377F">
        <w:t xml:space="preserve">did </w:t>
      </w:r>
      <w:r w:rsidRPr="006045FA">
        <w:t>not appl</w:t>
      </w:r>
      <w:r w:rsidR="00DA377F">
        <w:t xml:space="preserve">y </w:t>
      </w:r>
      <w:r w:rsidRPr="006045FA">
        <w:t>for a permitted health claim for FSFYC</w:t>
      </w:r>
      <w:r w:rsidR="00DA377F">
        <w:t xml:space="preserve">. </w:t>
      </w:r>
      <w:r w:rsidR="00C80D06">
        <w:t xml:space="preserve">FSANZ considers that this assessment could not be </w:t>
      </w:r>
      <w:r w:rsidR="007D3207">
        <w:t xml:space="preserve">used as </w:t>
      </w:r>
      <w:r w:rsidR="00C80D06">
        <w:t xml:space="preserve">the basis of a health claim, </w:t>
      </w:r>
      <w:r w:rsidR="007D3207">
        <w:t>since</w:t>
      </w:r>
      <w:r w:rsidR="00C80D06">
        <w:t xml:space="preserve"> a</w:t>
      </w:r>
      <w:r w:rsidR="00DA377F">
        <w:t xml:space="preserve">sessment of </w:t>
      </w:r>
      <w:r w:rsidRPr="006045FA">
        <w:t xml:space="preserve">any health claim, including claims of a </w:t>
      </w:r>
      <w:r w:rsidR="00DA377F">
        <w:t>preventive</w:t>
      </w:r>
      <w:r w:rsidRPr="006045FA">
        <w:t xml:space="preserve"> nature, </w:t>
      </w:r>
      <w:r w:rsidR="00DA377F">
        <w:t>was not part of FSANZ’s consideration of this application.</w:t>
      </w:r>
      <w:r w:rsidR="00994B33">
        <w:t xml:space="preserve"> </w:t>
      </w:r>
    </w:p>
    <w:p w14:paraId="52B25BCE" w14:textId="4651E991" w:rsidR="007A53BF" w:rsidRPr="007A53BF" w:rsidRDefault="007A53BF" w:rsidP="00317CB6">
      <w:pPr>
        <w:pStyle w:val="Heading2"/>
        <w:keepLines/>
      </w:pPr>
      <w:bookmarkStart w:id="29" w:name="_Toc22303657"/>
      <w:bookmarkStart w:id="30" w:name="_Toc22650320"/>
      <w:r w:rsidRPr="007A53BF">
        <w:t>1.3</w:t>
      </w:r>
      <w:r w:rsidRPr="007A53BF">
        <w:tab/>
        <w:t>The current Standard</w:t>
      </w:r>
      <w:bookmarkEnd w:id="26"/>
      <w:bookmarkEnd w:id="27"/>
      <w:bookmarkEnd w:id="28"/>
      <w:r w:rsidR="00F9387D">
        <w:t>s</w:t>
      </w:r>
      <w:bookmarkEnd w:id="29"/>
      <w:bookmarkEnd w:id="30"/>
    </w:p>
    <w:p w14:paraId="05C99DF3" w14:textId="581FCA23" w:rsidR="00020CB3" w:rsidRDefault="00020CB3" w:rsidP="00317CB6">
      <w:pPr>
        <w:pStyle w:val="Heading3"/>
        <w:keepLines/>
        <w:widowControl/>
      </w:pPr>
      <w:bookmarkStart w:id="31" w:name="_Toc467500931"/>
      <w:bookmarkStart w:id="32" w:name="_Toc525729983"/>
      <w:bookmarkStart w:id="33" w:name="_Toc527018228"/>
      <w:bookmarkStart w:id="34" w:name="_Toc11247894"/>
      <w:bookmarkStart w:id="35" w:name="_Toc14427188"/>
      <w:bookmarkStart w:id="36" w:name="_Toc22303658"/>
      <w:bookmarkStart w:id="37" w:name="_Toc22650321"/>
      <w:bookmarkStart w:id="38" w:name="_Toc286391007"/>
      <w:bookmarkStart w:id="39" w:name="_Toc300933423"/>
      <w:bookmarkStart w:id="40" w:name="_Toc370223468"/>
      <w:bookmarkStart w:id="41" w:name="_Toc175381432"/>
      <w:r w:rsidRPr="005B61D0">
        <w:t>1.3.1</w:t>
      </w:r>
      <w:r>
        <w:tab/>
      </w:r>
      <w:r w:rsidRPr="00472ED4">
        <w:t>Australia</w:t>
      </w:r>
      <w:r w:rsidRPr="005B61D0">
        <w:t xml:space="preserve"> and New Zealand</w:t>
      </w:r>
      <w:bookmarkEnd w:id="31"/>
      <w:bookmarkEnd w:id="32"/>
      <w:bookmarkEnd w:id="33"/>
      <w:bookmarkEnd w:id="34"/>
      <w:bookmarkEnd w:id="35"/>
      <w:r w:rsidR="00A5159F">
        <w:t xml:space="preserve"> Food Standards Code (the Code)</w:t>
      </w:r>
      <w:bookmarkEnd w:id="36"/>
      <w:bookmarkEnd w:id="37"/>
    </w:p>
    <w:p w14:paraId="22BD1599" w14:textId="77777777" w:rsidR="00020CB3" w:rsidRDefault="00020CB3" w:rsidP="00317CB6">
      <w:pPr>
        <w:keepNext/>
        <w:keepLines/>
        <w:rPr>
          <w:rFonts w:ascii="Calibri" w:hAnsi="Calibri"/>
          <w:szCs w:val="22"/>
          <w:lang w:bidi="ar-SA"/>
        </w:rPr>
      </w:pPr>
      <w:r>
        <w:t>Australian and New Zealand food laws require food for sale to comply with the following Code requirements.</w:t>
      </w:r>
    </w:p>
    <w:p w14:paraId="4BF6BE72" w14:textId="3FF09626" w:rsidR="00020CB3" w:rsidRPr="00F9387D" w:rsidRDefault="00F9387D" w:rsidP="00FB2487">
      <w:pPr>
        <w:pStyle w:val="Heading5"/>
        <w:rPr>
          <w:b/>
          <w:bCs/>
          <w:iCs/>
        </w:rPr>
      </w:pPr>
      <w:r>
        <w:rPr>
          <w:b/>
          <w:bCs/>
          <w:iCs/>
        </w:rPr>
        <w:t>1.3.1.1</w:t>
      </w:r>
      <w:r>
        <w:rPr>
          <w:b/>
          <w:bCs/>
          <w:iCs/>
        </w:rPr>
        <w:tab/>
      </w:r>
      <w:r w:rsidR="00020CB3" w:rsidRPr="00F9387D">
        <w:rPr>
          <w:b/>
          <w:bCs/>
          <w:iCs/>
        </w:rPr>
        <w:t>Permitted use</w:t>
      </w:r>
    </w:p>
    <w:p w14:paraId="4F2B0159" w14:textId="43F213F2" w:rsidR="00020CB3" w:rsidRDefault="00020CB3" w:rsidP="00020CB3">
      <w:pPr>
        <w:widowControl/>
      </w:pPr>
      <w:r w:rsidRPr="001805AF">
        <w:t xml:space="preserve">Paragraphs 1.1.1—10(5)(c) and (6)(g) </w:t>
      </w:r>
      <w:r>
        <w:t>of Standard 1.1.1 require</w:t>
      </w:r>
      <w:r w:rsidRPr="001805AF">
        <w:t xml:space="preserve"> that, unless</w:t>
      </w:r>
      <w:r>
        <w:t xml:space="preserve"> expressly permitted</w:t>
      </w:r>
      <w:r w:rsidRPr="001805AF">
        <w:t xml:space="preserve">, a food for sale must not be a </w:t>
      </w:r>
      <w:r w:rsidRPr="00EC2441">
        <w:rPr>
          <w:i/>
        </w:rPr>
        <w:t>food produced using gene technology</w:t>
      </w:r>
      <w:r w:rsidRPr="00213529">
        <w:t xml:space="preserve">, or have as an ingredient or component a </w:t>
      </w:r>
      <w:r w:rsidRPr="00EC2441">
        <w:rPr>
          <w:i/>
        </w:rPr>
        <w:t>food produced using gene technology</w:t>
      </w:r>
      <w:r w:rsidRPr="00213529">
        <w:t xml:space="preserve">. </w:t>
      </w:r>
      <w:r>
        <w:t xml:space="preserve">2′-FL and LNnT are both </w:t>
      </w:r>
      <w:r>
        <w:rPr>
          <w:i/>
        </w:rPr>
        <w:t>food</w:t>
      </w:r>
      <w:r w:rsidRPr="00C34DBE">
        <w:rPr>
          <w:i/>
        </w:rPr>
        <w:t xml:space="preserve"> produced using gene technology</w:t>
      </w:r>
      <w:r w:rsidRPr="00B35F00">
        <w:t xml:space="preserve"> </w:t>
      </w:r>
      <w:r>
        <w:t>(</w:t>
      </w:r>
      <w:r w:rsidRPr="00B35F00">
        <w:t>section 1.1</w:t>
      </w:r>
      <w:r>
        <w:t xml:space="preserve">.2—2) as they are derived from </w:t>
      </w:r>
      <w:r w:rsidRPr="00B35F00">
        <w:t xml:space="preserve">an organism </w:t>
      </w:r>
      <w:r>
        <w:t xml:space="preserve">modified using gene technology </w:t>
      </w:r>
      <w:r w:rsidRPr="00B35F00">
        <w:t xml:space="preserve">(i.e. </w:t>
      </w:r>
      <w:r>
        <w:t xml:space="preserve">derived from </w:t>
      </w:r>
      <w:r w:rsidRPr="00B35F00">
        <w:t xml:space="preserve">GM </w:t>
      </w:r>
      <w:r w:rsidRPr="00B35F00">
        <w:rPr>
          <w:i/>
        </w:rPr>
        <w:t>E</w:t>
      </w:r>
      <w:r w:rsidRPr="00B23FB1">
        <w:t>.</w:t>
      </w:r>
      <w:r w:rsidR="00B23FB1" w:rsidRPr="00B23FB1">
        <w:t xml:space="preserve"> </w:t>
      </w:r>
      <w:r w:rsidRPr="00B35F00">
        <w:rPr>
          <w:i/>
        </w:rPr>
        <w:t>coli</w:t>
      </w:r>
      <w:r>
        <w:t xml:space="preserve"> </w:t>
      </w:r>
      <w:r w:rsidR="008136D3">
        <w:t xml:space="preserve">K12 </w:t>
      </w:r>
      <w:r>
        <w:t>strains</w:t>
      </w:r>
      <w:r w:rsidRPr="00B35F00">
        <w:t xml:space="preserve">). </w:t>
      </w:r>
      <w:r w:rsidRPr="001805AF" w:rsidDel="00835E0C">
        <w:t>If approved, e</w:t>
      </w:r>
      <w:r w:rsidDel="00835E0C">
        <w:t>xpress permission</w:t>
      </w:r>
      <w:r w:rsidRPr="001805AF" w:rsidDel="00835E0C">
        <w:t xml:space="preserve"> for 2</w:t>
      </w:r>
      <w:r>
        <w:t>′</w:t>
      </w:r>
      <w:r w:rsidRPr="001805AF" w:rsidDel="00835E0C">
        <w:t xml:space="preserve">-FL and LNnT </w:t>
      </w:r>
      <w:r>
        <w:t>is</w:t>
      </w:r>
      <w:r w:rsidRPr="001805AF" w:rsidDel="00835E0C">
        <w:t xml:space="preserve"> required in accordance with Standard 1.5.2 – Food produced using gene technology</w:t>
      </w:r>
      <w:r>
        <w:t xml:space="preserve"> (i.e. listed in Schedule 26), </w:t>
      </w:r>
      <w:r w:rsidRPr="001805AF" w:rsidDel="00835E0C">
        <w:t xml:space="preserve">rather than </w:t>
      </w:r>
      <w:r>
        <w:t xml:space="preserve">permission for a </w:t>
      </w:r>
      <w:r w:rsidRPr="001805AF" w:rsidDel="00835E0C">
        <w:t>novel food in Schedule 25.</w:t>
      </w:r>
    </w:p>
    <w:p w14:paraId="3FDF99AF" w14:textId="77777777" w:rsidR="00020CB3" w:rsidRDefault="00020CB3" w:rsidP="00020CB3"/>
    <w:p w14:paraId="0017AD10" w14:textId="77777777" w:rsidR="00020CB3" w:rsidRDefault="00020CB3" w:rsidP="00020CB3">
      <w:r>
        <w:t xml:space="preserve">In addition, paragraph </w:t>
      </w:r>
      <w:r w:rsidRPr="001805AF">
        <w:t>1.1.1—10</w:t>
      </w:r>
      <w:r>
        <w:t>(6)(b</w:t>
      </w:r>
      <w:r w:rsidRPr="001805AF">
        <w:t>)</w:t>
      </w:r>
      <w:r>
        <w:t xml:space="preserve"> of Standard 1.1.1 requires that, unless expressly permitted, a food for sale must not have as an ingredient or component a substance that was </w:t>
      </w:r>
      <w:r w:rsidRPr="0014740B">
        <w:rPr>
          <w:i/>
        </w:rPr>
        <w:t>used as a nutritive substance</w:t>
      </w:r>
      <w:r>
        <w:rPr>
          <w:i/>
        </w:rPr>
        <w:t xml:space="preserve"> </w:t>
      </w:r>
      <w:r>
        <w:t xml:space="preserve">(section </w:t>
      </w:r>
      <w:r w:rsidRPr="00B35F00">
        <w:t>1.1.2—</w:t>
      </w:r>
      <w:r>
        <w:t>1</w:t>
      </w:r>
      <w:r w:rsidRPr="00B35F00">
        <w:t>2</w:t>
      </w:r>
      <w:r>
        <w:t xml:space="preserve">). 2′-FL and LNnT are both </w:t>
      </w:r>
      <w:r w:rsidRPr="00D27117">
        <w:rPr>
          <w:i/>
        </w:rPr>
        <w:t>used as a nutritive substance</w:t>
      </w:r>
      <w:r>
        <w:t xml:space="preserve"> because their addition to food is intended to achieve specific nutritional purposes. Therefore, if approved, express permission for </w:t>
      </w:r>
      <w:r w:rsidRPr="001805AF" w:rsidDel="00835E0C">
        <w:t>2</w:t>
      </w:r>
      <w:r>
        <w:t>′</w:t>
      </w:r>
      <w:r w:rsidRPr="001805AF" w:rsidDel="00835E0C">
        <w:t>-FL and LNnT</w:t>
      </w:r>
      <w:r>
        <w:t xml:space="preserve"> to be </w:t>
      </w:r>
      <w:r>
        <w:rPr>
          <w:i/>
        </w:rPr>
        <w:t>used as a nutritive substance</w:t>
      </w:r>
      <w:r>
        <w:t xml:space="preserve"> is required in the Code in addition to the permission as </w:t>
      </w:r>
      <w:r>
        <w:rPr>
          <w:i/>
        </w:rPr>
        <w:t>food produced using gene technology</w:t>
      </w:r>
      <w:r>
        <w:t xml:space="preserve"> above. </w:t>
      </w:r>
    </w:p>
    <w:p w14:paraId="4DE1AF53" w14:textId="01E7126E" w:rsidR="00020CB3" w:rsidRPr="00F9387D" w:rsidRDefault="00F9387D" w:rsidP="00FB2487">
      <w:pPr>
        <w:pStyle w:val="Heading5"/>
        <w:rPr>
          <w:b/>
          <w:bCs/>
          <w:iCs/>
        </w:rPr>
      </w:pPr>
      <w:r>
        <w:rPr>
          <w:b/>
          <w:bCs/>
          <w:iCs/>
        </w:rPr>
        <w:t>1.3.1.2</w:t>
      </w:r>
      <w:r>
        <w:rPr>
          <w:b/>
          <w:bCs/>
          <w:iCs/>
        </w:rPr>
        <w:tab/>
      </w:r>
      <w:r w:rsidR="00020CB3" w:rsidRPr="00F9387D">
        <w:rPr>
          <w:b/>
          <w:bCs/>
          <w:iCs/>
        </w:rPr>
        <w:t>Infant formula products</w:t>
      </w:r>
    </w:p>
    <w:p w14:paraId="71702C11" w14:textId="1F3B2193" w:rsidR="0013631D" w:rsidRDefault="00A5159F" w:rsidP="0013631D">
      <w:pPr>
        <w:rPr>
          <w:szCs w:val="22"/>
          <w:lang w:eastAsia="en-AU"/>
        </w:rPr>
      </w:pPr>
      <w:r>
        <w:rPr>
          <w:lang w:bidi="ar-SA"/>
        </w:rPr>
        <w:t>The composition of infant formula is regulated in Standard 2.9.1 – Infant Formula Products</w:t>
      </w:r>
      <w:r w:rsidR="0013631D">
        <w:rPr>
          <w:lang w:bidi="ar-SA"/>
        </w:rPr>
        <w:t xml:space="preserve"> and </w:t>
      </w:r>
      <w:r w:rsidR="0013631D">
        <w:rPr>
          <w:szCs w:val="22"/>
          <w:lang w:eastAsia="en-AU"/>
        </w:rPr>
        <w:t xml:space="preserve">Schedule 29 </w:t>
      </w:r>
      <w:r w:rsidR="0013631D">
        <w:rPr>
          <w:lang w:bidi="ar-SA"/>
        </w:rPr>
        <w:t>– Special Purpose Foods</w:t>
      </w:r>
      <w:r>
        <w:rPr>
          <w:lang w:bidi="ar-SA"/>
        </w:rPr>
        <w:t xml:space="preserve"> in the Code. </w:t>
      </w:r>
      <w:r w:rsidR="0013631D">
        <w:rPr>
          <w:lang w:bidi="ar-SA"/>
        </w:rPr>
        <w:t>The s</w:t>
      </w:r>
      <w:r w:rsidR="0013631D" w:rsidRPr="00723A62">
        <w:rPr>
          <w:szCs w:val="22"/>
          <w:lang w:eastAsia="en-AU"/>
        </w:rPr>
        <w:t xml:space="preserve">tandard </w:t>
      </w:r>
      <w:r w:rsidR="0013631D">
        <w:rPr>
          <w:szCs w:val="22"/>
          <w:lang w:eastAsia="en-AU"/>
        </w:rPr>
        <w:t xml:space="preserve">(and associated schedule) set out specific </w:t>
      </w:r>
      <w:r w:rsidR="0013631D" w:rsidRPr="00723A62">
        <w:rPr>
          <w:szCs w:val="22"/>
          <w:lang w:eastAsia="en-AU"/>
        </w:rPr>
        <w:t>compositional and labelling requirements</w:t>
      </w:r>
      <w:r w:rsidR="0013631D">
        <w:rPr>
          <w:szCs w:val="22"/>
          <w:lang w:eastAsia="en-AU"/>
        </w:rPr>
        <w:t xml:space="preserve"> </w:t>
      </w:r>
      <w:r w:rsidR="0013631D" w:rsidRPr="00723A62">
        <w:rPr>
          <w:szCs w:val="22"/>
          <w:lang w:eastAsia="en-AU"/>
        </w:rPr>
        <w:t>for</w:t>
      </w:r>
      <w:r w:rsidR="0013631D">
        <w:rPr>
          <w:szCs w:val="22"/>
          <w:lang w:eastAsia="en-AU"/>
        </w:rPr>
        <w:t xml:space="preserve"> the following </w:t>
      </w:r>
      <w:r w:rsidR="0013631D" w:rsidRPr="00723A62">
        <w:rPr>
          <w:szCs w:val="22"/>
          <w:lang w:eastAsia="en-AU"/>
        </w:rPr>
        <w:t>infant formula</w:t>
      </w:r>
      <w:r w:rsidR="0013631D">
        <w:rPr>
          <w:szCs w:val="22"/>
          <w:lang w:eastAsia="en-AU"/>
        </w:rPr>
        <w:t xml:space="preserve"> products:</w:t>
      </w:r>
    </w:p>
    <w:p w14:paraId="77576934" w14:textId="77777777" w:rsidR="0013631D" w:rsidRDefault="0013631D" w:rsidP="0013631D">
      <w:pPr>
        <w:pStyle w:val="FSBullet1"/>
        <w:numPr>
          <w:ilvl w:val="0"/>
          <w:numId w:val="5"/>
        </w:numPr>
        <w:ind w:left="567" w:hanging="567"/>
        <w:rPr>
          <w:lang w:val="en-AU"/>
        </w:rPr>
      </w:pPr>
      <w:r>
        <w:rPr>
          <w:szCs w:val="22"/>
          <w:lang w:eastAsia="en-AU"/>
        </w:rPr>
        <w:t xml:space="preserve">infant formula </w:t>
      </w:r>
      <w:r>
        <w:rPr>
          <w:lang w:val="en-AU"/>
        </w:rPr>
        <w:t>(for infants aged 0-&lt;12 months)</w:t>
      </w:r>
    </w:p>
    <w:p w14:paraId="6F6BF8C8" w14:textId="77777777" w:rsidR="0013631D" w:rsidRDefault="0013631D" w:rsidP="0013631D">
      <w:pPr>
        <w:pStyle w:val="FSBullet1"/>
        <w:numPr>
          <w:ilvl w:val="0"/>
          <w:numId w:val="5"/>
        </w:numPr>
        <w:ind w:left="567" w:hanging="567"/>
        <w:rPr>
          <w:lang w:val="en-AU"/>
        </w:rPr>
      </w:pPr>
      <w:r>
        <w:rPr>
          <w:lang w:val="en-AU"/>
        </w:rPr>
        <w:t>follow-on formula (for infants aged from 6-&lt;12 months)</w:t>
      </w:r>
    </w:p>
    <w:p w14:paraId="1C340B77" w14:textId="77777777" w:rsidR="0013631D" w:rsidRPr="00C41BD6" w:rsidRDefault="0013631D" w:rsidP="0013631D">
      <w:pPr>
        <w:pStyle w:val="FSBullet1"/>
        <w:numPr>
          <w:ilvl w:val="0"/>
          <w:numId w:val="5"/>
        </w:numPr>
        <w:ind w:left="567" w:hanging="567"/>
        <w:rPr>
          <w:lang w:val="en-AU"/>
        </w:rPr>
      </w:pPr>
      <w:r>
        <w:rPr>
          <w:lang w:val="en-AU"/>
        </w:rPr>
        <w:t>infant formula products for special dietary use (for infants aged 0-&lt;12 months).</w:t>
      </w:r>
    </w:p>
    <w:p w14:paraId="11E19A40" w14:textId="77777777" w:rsidR="0013631D" w:rsidRDefault="0013631D" w:rsidP="00020CB3">
      <w:pPr>
        <w:rPr>
          <w:lang w:bidi="ar-SA"/>
        </w:rPr>
      </w:pPr>
    </w:p>
    <w:p w14:paraId="3BFEB27E" w14:textId="31B44340" w:rsidR="00020CB3" w:rsidRPr="00C41BD6" w:rsidRDefault="00A5159F" w:rsidP="0013631D">
      <w:pPr>
        <w:rPr>
          <w:lang w:val="en-AU"/>
        </w:rPr>
      </w:pPr>
      <w:r>
        <w:rPr>
          <w:lang w:bidi="ar-SA"/>
        </w:rPr>
        <w:t xml:space="preserve">Regulation of the composition of infant formula is appropriately prescriptive to ensure that infant formula provides sufficient energy and nutrients to promote normal growth and development of formula-fed infants, without posing a risk to infant health. </w:t>
      </w:r>
    </w:p>
    <w:p w14:paraId="1BB4A206" w14:textId="7EDAB707" w:rsidR="00020CB3" w:rsidRPr="00F9387D" w:rsidRDefault="00F9387D" w:rsidP="00FB2487">
      <w:pPr>
        <w:pStyle w:val="Heading5"/>
        <w:rPr>
          <w:b/>
          <w:bCs/>
          <w:iCs/>
        </w:rPr>
      </w:pPr>
      <w:r>
        <w:rPr>
          <w:b/>
          <w:bCs/>
          <w:iCs/>
        </w:rPr>
        <w:t>1.3.1.3</w:t>
      </w:r>
      <w:r>
        <w:rPr>
          <w:b/>
          <w:bCs/>
          <w:iCs/>
        </w:rPr>
        <w:tab/>
      </w:r>
      <w:r w:rsidR="00020CB3" w:rsidRPr="00F9387D">
        <w:rPr>
          <w:b/>
          <w:bCs/>
          <w:iCs/>
        </w:rPr>
        <w:t>Formulated Supplementary Food for Young Children</w:t>
      </w:r>
    </w:p>
    <w:p w14:paraId="6F47F98B" w14:textId="77777777" w:rsidR="00020CB3" w:rsidRDefault="00020CB3" w:rsidP="00020CB3">
      <w:pPr>
        <w:widowControl/>
        <w:rPr>
          <w:szCs w:val="22"/>
          <w:lang w:eastAsia="en-AU"/>
        </w:rPr>
      </w:pPr>
      <w:r>
        <w:rPr>
          <w:szCs w:val="22"/>
          <w:lang w:eastAsia="en-AU"/>
        </w:rPr>
        <w:t>Specific compositional and labelling requirements for FSFYC (for children aged 1</w:t>
      </w:r>
      <w:r w:rsidRPr="006070E6">
        <w:rPr>
          <w:szCs w:val="22"/>
          <w:lang w:eastAsia="en-AU"/>
        </w:rPr>
        <w:t>-&lt;4</w:t>
      </w:r>
      <w:r>
        <w:rPr>
          <w:szCs w:val="22"/>
          <w:lang w:eastAsia="en-AU"/>
        </w:rPr>
        <w:t xml:space="preserve"> years) are set out in Division 4 of </w:t>
      </w:r>
      <w:r w:rsidRPr="00723A62">
        <w:rPr>
          <w:szCs w:val="22"/>
          <w:lang w:eastAsia="en-AU"/>
        </w:rPr>
        <w:t>Standard 2.9.3</w:t>
      </w:r>
      <w:r>
        <w:rPr>
          <w:szCs w:val="22"/>
          <w:lang w:eastAsia="en-AU"/>
        </w:rPr>
        <w:t xml:space="preserve"> and in Schedules</w:t>
      </w:r>
      <w:r w:rsidRPr="00723A62">
        <w:rPr>
          <w:szCs w:val="22"/>
          <w:lang w:eastAsia="en-AU"/>
        </w:rPr>
        <w:t xml:space="preserve"> 17</w:t>
      </w:r>
      <w:r>
        <w:rPr>
          <w:szCs w:val="22"/>
          <w:lang w:eastAsia="en-AU"/>
        </w:rPr>
        <w:t xml:space="preserve"> </w:t>
      </w:r>
      <w:r w:rsidRPr="00723A62">
        <w:rPr>
          <w:szCs w:val="22"/>
          <w:lang w:eastAsia="en-AU"/>
        </w:rPr>
        <w:t>and 29</w:t>
      </w:r>
      <w:r>
        <w:rPr>
          <w:szCs w:val="22"/>
          <w:lang w:eastAsia="en-AU"/>
        </w:rPr>
        <w:t xml:space="preserve">. </w:t>
      </w:r>
    </w:p>
    <w:p w14:paraId="44A03104" w14:textId="50CEA23A" w:rsidR="00020CB3" w:rsidRPr="00F9387D" w:rsidRDefault="00F9387D" w:rsidP="00FB2487">
      <w:pPr>
        <w:pStyle w:val="Heading5"/>
        <w:rPr>
          <w:b/>
          <w:bCs/>
          <w:iCs/>
        </w:rPr>
      </w:pPr>
      <w:r>
        <w:rPr>
          <w:b/>
          <w:bCs/>
          <w:iCs/>
        </w:rPr>
        <w:t>1.3.1.4</w:t>
      </w:r>
      <w:r>
        <w:rPr>
          <w:b/>
          <w:bCs/>
          <w:iCs/>
        </w:rPr>
        <w:tab/>
      </w:r>
      <w:r w:rsidR="00020CB3" w:rsidRPr="00F9387D">
        <w:rPr>
          <w:b/>
          <w:bCs/>
          <w:iCs/>
        </w:rPr>
        <w:t>Labelling requirements</w:t>
      </w:r>
    </w:p>
    <w:p w14:paraId="241162A2" w14:textId="77777777" w:rsidR="00020CB3" w:rsidRDefault="00020CB3" w:rsidP="00020CB3">
      <w:pPr>
        <w:rPr>
          <w:i/>
          <w:szCs w:val="22"/>
          <w:lang w:eastAsia="en-AU"/>
        </w:rPr>
      </w:pPr>
      <w:r>
        <w:t>Paragraph 1.1.1—10(8) requires that food for sale must comply with all relevant labelling requirements in the Code for that food.</w:t>
      </w:r>
      <w:r>
        <w:rPr>
          <w:szCs w:val="22"/>
          <w:lang w:eastAsia="en-AU"/>
        </w:rPr>
        <w:t xml:space="preserve"> In addition to specific labelling requirements in Standards 2.9.1 and 2.9.3 (Division 4), the following general labelling requirements also apply. </w:t>
      </w:r>
    </w:p>
    <w:p w14:paraId="4A01B260" w14:textId="77777777" w:rsidR="00020CB3" w:rsidRDefault="00020CB3" w:rsidP="00020CB3">
      <w:pPr>
        <w:widowControl/>
        <w:rPr>
          <w:i/>
          <w:szCs w:val="22"/>
          <w:lang w:eastAsia="en-AU"/>
        </w:rPr>
      </w:pPr>
    </w:p>
    <w:p w14:paraId="3E24D854" w14:textId="77777777" w:rsidR="00020CB3" w:rsidRDefault="00020CB3" w:rsidP="00020CB3">
      <w:r>
        <w:t>Standard 1.2.4 generally requires food products to be labelled with a statement of ingredients.</w:t>
      </w:r>
    </w:p>
    <w:p w14:paraId="268BE4FC" w14:textId="77777777" w:rsidR="00020CB3" w:rsidRDefault="00020CB3" w:rsidP="00020CB3"/>
    <w:p w14:paraId="5C0AC53C" w14:textId="77777777" w:rsidR="008A27A9" w:rsidRPr="0084446A" w:rsidRDefault="008A27A9" w:rsidP="008A27A9">
      <w:pPr>
        <w:pStyle w:val="CommentText"/>
        <w:rPr>
          <w:sz w:val="22"/>
          <w:szCs w:val="22"/>
        </w:rPr>
      </w:pPr>
      <w:r w:rsidRPr="0084446A">
        <w:rPr>
          <w:sz w:val="22"/>
          <w:szCs w:val="22"/>
        </w:rPr>
        <w:t>Standard 1.2.7 sets out the requirements and conditions for voluntary nutrition, health and related claims made about food (FSFYC only). The Standard prohibits claims to be made about an infant formula product</w:t>
      </w:r>
      <w:r w:rsidRPr="00DA377F">
        <w:rPr>
          <w:sz w:val="22"/>
          <w:szCs w:val="22"/>
        </w:rPr>
        <w:t>. Section 1.2.7—8 prohibits claims that are therapeutic in nature for any food.</w:t>
      </w:r>
    </w:p>
    <w:p w14:paraId="7B357850" w14:textId="77777777" w:rsidR="008A27A9" w:rsidRDefault="008A27A9" w:rsidP="00A632E6">
      <w:pPr>
        <w:keepNext/>
        <w:keepLines/>
        <w:rPr>
          <w:szCs w:val="22"/>
        </w:rPr>
      </w:pPr>
    </w:p>
    <w:p w14:paraId="5FDC628C" w14:textId="6C4A5897" w:rsidR="00020CB3" w:rsidRPr="0084446A" w:rsidRDefault="00020CB3" w:rsidP="00A632E6">
      <w:pPr>
        <w:keepNext/>
        <w:keepLines/>
        <w:rPr>
          <w:szCs w:val="22"/>
        </w:rPr>
      </w:pPr>
      <w:r w:rsidRPr="0084446A">
        <w:rPr>
          <w:szCs w:val="22"/>
        </w:rPr>
        <w:t xml:space="preserve">Standard 1.2.8 generally requires food products to be labelled with nutrition information. This Standard does not apply to infant formula products (specific nutrition labelling requirements are set out in Standard 2.9.1). </w:t>
      </w:r>
    </w:p>
    <w:p w14:paraId="5797F85A" w14:textId="77777777" w:rsidR="002D1847" w:rsidRPr="0084446A" w:rsidRDefault="002D1847" w:rsidP="00020CB3">
      <w:pPr>
        <w:rPr>
          <w:szCs w:val="22"/>
        </w:rPr>
      </w:pPr>
    </w:p>
    <w:p w14:paraId="1A652277" w14:textId="77777777" w:rsidR="00020CB3" w:rsidRPr="0084446A" w:rsidRDefault="00020CB3" w:rsidP="008519BD">
      <w:pPr>
        <w:keepNext/>
        <w:keepLines/>
        <w:rPr>
          <w:szCs w:val="22"/>
        </w:rPr>
      </w:pPr>
      <w:r w:rsidRPr="0084446A">
        <w:rPr>
          <w:szCs w:val="22"/>
        </w:rPr>
        <w:t xml:space="preserve">Section 1.5.2—4 sets out labelling requirements for foods for sale that consist of or have as an ingredient, food that is a </w:t>
      </w:r>
      <w:r w:rsidRPr="0084446A">
        <w:rPr>
          <w:i/>
          <w:szCs w:val="22"/>
        </w:rPr>
        <w:t>genetically modified food</w:t>
      </w:r>
      <w:r w:rsidRPr="0084446A">
        <w:rPr>
          <w:szCs w:val="22"/>
        </w:rPr>
        <w:t xml:space="preserve">. A </w:t>
      </w:r>
      <w:r w:rsidRPr="0084446A">
        <w:rPr>
          <w:i/>
          <w:szCs w:val="22"/>
        </w:rPr>
        <w:t>genetically modified food</w:t>
      </w:r>
      <w:r w:rsidRPr="0084446A">
        <w:rPr>
          <w:szCs w:val="22"/>
        </w:rPr>
        <w:t xml:space="preserve"> is defined in subsection 1.5.2—4(5) as a </w:t>
      </w:r>
      <w:r w:rsidRPr="0084446A">
        <w:rPr>
          <w:i/>
          <w:szCs w:val="22"/>
        </w:rPr>
        <w:t>food produced using gene technology</w:t>
      </w:r>
      <w:r w:rsidRPr="0084446A">
        <w:rPr>
          <w:szCs w:val="22"/>
        </w:rPr>
        <w:t xml:space="preserve"> that contains novel DNA or novel protein or is listed in section S26—3. </w:t>
      </w:r>
    </w:p>
    <w:p w14:paraId="3EDFCC34" w14:textId="59C30362" w:rsidR="00020CB3" w:rsidRPr="00F9387D" w:rsidRDefault="00F9387D" w:rsidP="00FB2487">
      <w:pPr>
        <w:pStyle w:val="Heading5"/>
        <w:rPr>
          <w:b/>
          <w:bCs/>
          <w:iCs/>
        </w:rPr>
      </w:pPr>
      <w:r>
        <w:rPr>
          <w:b/>
          <w:bCs/>
          <w:iCs/>
        </w:rPr>
        <w:t>1.3.1.5</w:t>
      </w:r>
      <w:r>
        <w:rPr>
          <w:b/>
          <w:bCs/>
          <w:iCs/>
        </w:rPr>
        <w:tab/>
      </w:r>
      <w:r w:rsidR="00020CB3" w:rsidRPr="00F9387D">
        <w:rPr>
          <w:b/>
          <w:bCs/>
          <w:iCs/>
        </w:rPr>
        <w:t>Identity and purity</w:t>
      </w:r>
    </w:p>
    <w:p w14:paraId="4B372FEB" w14:textId="77777777" w:rsidR="00020CB3" w:rsidRDefault="00020CB3" w:rsidP="00020CB3">
      <w:pPr>
        <w:widowControl/>
        <w:rPr>
          <w:rFonts w:ascii="Calibri" w:hAnsi="Calibri"/>
          <w:szCs w:val="22"/>
          <w:lang w:bidi="ar-SA"/>
        </w:rPr>
      </w:pPr>
      <w:r>
        <w:t xml:space="preserve">Paragraph 1.1.1—15(1)(a) requires a substance that is </w:t>
      </w:r>
      <w:r w:rsidRPr="00AB585F">
        <w:rPr>
          <w:i/>
        </w:rPr>
        <w:t>used as a nutritive substance</w:t>
      </w:r>
      <w:r>
        <w:t xml:space="preserve"> to comply with any relevant identity and purity specifications listed in Schedule 3. </w:t>
      </w:r>
    </w:p>
    <w:p w14:paraId="00D59252" w14:textId="4947CFF4" w:rsidR="00020CB3" w:rsidRDefault="00020CB3" w:rsidP="00020CB3">
      <w:pPr>
        <w:pStyle w:val="Heading4"/>
      </w:pPr>
      <w:r>
        <w:t>1.3.1.</w:t>
      </w:r>
      <w:r w:rsidR="00F9387D">
        <w:t>6</w:t>
      </w:r>
      <w:r>
        <w:tab/>
        <w:t>Current oligosaccharide permissions</w:t>
      </w:r>
    </w:p>
    <w:p w14:paraId="1C5AFAE7" w14:textId="77777777" w:rsidR="00020CB3" w:rsidRDefault="00020CB3" w:rsidP="00020CB3">
      <w:pPr>
        <w:widowControl/>
        <w:rPr>
          <w:szCs w:val="22"/>
        </w:rPr>
      </w:pPr>
      <w:r>
        <w:rPr>
          <w:szCs w:val="22"/>
        </w:rPr>
        <w:t>The Code currently permits galacto-oligosaccharides</w:t>
      </w:r>
      <w:r w:rsidRPr="00844935">
        <w:rPr>
          <w:szCs w:val="22"/>
        </w:rPr>
        <w:t xml:space="preserve"> (GOS) and inulin-type fructans (ITF)</w:t>
      </w:r>
      <w:r>
        <w:rPr>
          <w:szCs w:val="22"/>
        </w:rPr>
        <w:t xml:space="preserve"> (section 1.1.2</w:t>
      </w:r>
      <w:r w:rsidRPr="00844935">
        <w:rPr>
          <w:szCs w:val="22"/>
        </w:rPr>
        <w:t>—</w:t>
      </w:r>
      <w:r>
        <w:rPr>
          <w:szCs w:val="22"/>
        </w:rPr>
        <w:t>2) to be added to</w:t>
      </w:r>
      <w:r w:rsidRPr="00844935">
        <w:rPr>
          <w:szCs w:val="22"/>
        </w:rPr>
        <w:t xml:space="preserve"> infant formula products and FSFYC</w:t>
      </w:r>
      <w:r>
        <w:rPr>
          <w:szCs w:val="22"/>
        </w:rPr>
        <w:t xml:space="preserve"> </w:t>
      </w:r>
      <w:r w:rsidRPr="00844935">
        <w:rPr>
          <w:szCs w:val="22"/>
        </w:rPr>
        <w:t>(</w:t>
      </w:r>
      <w:r>
        <w:rPr>
          <w:szCs w:val="22"/>
        </w:rPr>
        <w:t>sections 2.9.1—7 and 2.9.3—7</w:t>
      </w:r>
      <w:r w:rsidRPr="00844935">
        <w:rPr>
          <w:szCs w:val="22"/>
        </w:rPr>
        <w:t>)</w:t>
      </w:r>
      <w:r>
        <w:rPr>
          <w:szCs w:val="22"/>
        </w:rPr>
        <w:t xml:space="preserve">. These are also permitted in general foods by their </w:t>
      </w:r>
      <w:r w:rsidRPr="005F1303">
        <w:rPr>
          <w:szCs w:val="22"/>
        </w:rPr>
        <w:t xml:space="preserve">specific exclusion </w:t>
      </w:r>
      <w:r>
        <w:rPr>
          <w:szCs w:val="22"/>
        </w:rPr>
        <w:t>from</w:t>
      </w:r>
      <w:r w:rsidRPr="005F1303">
        <w:rPr>
          <w:szCs w:val="22"/>
        </w:rPr>
        <w:t xml:space="preserve"> the definition of </w:t>
      </w:r>
      <w:r w:rsidRPr="00E729C2">
        <w:rPr>
          <w:i/>
          <w:szCs w:val="22"/>
        </w:rPr>
        <w:t>used as a nutritive substance</w:t>
      </w:r>
      <w:r>
        <w:rPr>
          <w:szCs w:val="22"/>
        </w:rPr>
        <w:t xml:space="preserve"> in </w:t>
      </w:r>
      <w:r w:rsidRPr="005F1303">
        <w:rPr>
          <w:szCs w:val="22"/>
        </w:rPr>
        <w:t xml:space="preserve">section 1.1.2—12 and general provisions in </w:t>
      </w:r>
      <w:r>
        <w:rPr>
          <w:szCs w:val="22"/>
        </w:rPr>
        <w:t xml:space="preserve">section </w:t>
      </w:r>
      <w:r w:rsidRPr="005F1303">
        <w:rPr>
          <w:szCs w:val="22"/>
        </w:rPr>
        <w:t>1.1.1—10.</w:t>
      </w:r>
      <w:r>
        <w:rPr>
          <w:szCs w:val="22"/>
        </w:rPr>
        <w:t xml:space="preserve"> </w:t>
      </w:r>
      <w:r w:rsidRPr="005F1303">
        <w:rPr>
          <w:szCs w:val="22"/>
        </w:rPr>
        <w:t>ITF</w:t>
      </w:r>
      <w:r>
        <w:rPr>
          <w:szCs w:val="22"/>
        </w:rPr>
        <w:t xml:space="preserve"> includes substances such as fructo-oligosaccharides (FOS), short-chain FOS (scFOS), oligofructose and inulin (FSANZ 2013). Unlike 2′-FL and LNnT, ITF are not present in human milk and GOS is found only in trace amounts (FSANZ 2008).</w:t>
      </w:r>
      <w:r w:rsidRPr="00844935">
        <w:rPr>
          <w:szCs w:val="22"/>
        </w:rPr>
        <w:t xml:space="preserve"> </w:t>
      </w:r>
    </w:p>
    <w:p w14:paraId="695842B6" w14:textId="77777777" w:rsidR="00020CB3" w:rsidRDefault="00020CB3" w:rsidP="00020CB3">
      <w:pPr>
        <w:widowControl/>
        <w:rPr>
          <w:szCs w:val="22"/>
        </w:rPr>
      </w:pPr>
    </w:p>
    <w:p w14:paraId="2A9DD7C3" w14:textId="6F7305AE" w:rsidR="00020CB3" w:rsidRDefault="00020CB3" w:rsidP="00020CB3">
      <w:pPr>
        <w:widowControl/>
        <w:rPr>
          <w:szCs w:val="22"/>
        </w:rPr>
      </w:pPr>
      <w:r w:rsidRPr="00BD75C8">
        <w:rPr>
          <w:szCs w:val="22"/>
        </w:rPr>
        <w:t xml:space="preserve">For infant formula products, the Code </w:t>
      </w:r>
      <w:r>
        <w:rPr>
          <w:szCs w:val="22"/>
        </w:rPr>
        <w:t>permits</w:t>
      </w:r>
      <w:r w:rsidRPr="00BD75C8">
        <w:rPr>
          <w:szCs w:val="22"/>
        </w:rPr>
        <w:t xml:space="preserve"> the addition of IT</w:t>
      </w:r>
      <w:r>
        <w:rPr>
          <w:szCs w:val="22"/>
        </w:rPr>
        <w:t xml:space="preserve">F alone (up to </w:t>
      </w:r>
      <w:r w:rsidRPr="00BD75C8">
        <w:rPr>
          <w:szCs w:val="22"/>
        </w:rPr>
        <w:t>110 mg/100 kJ</w:t>
      </w:r>
      <w:r>
        <w:rPr>
          <w:szCs w:val="22"/>
        </w:rPr>
        <w:t>),</w:t>
      </w:r>
      <w:r w:rsidRPr="00BD75C8">
        <w:rPr>
          <w:szCs w:val="22"/>
        </w:rPr>
        <w:t xml:space="preserve"> GOS alone </w:t>
      </w:r>
      <w:r>
        <w:rPr>
          <w:szCs w:val="22"/>
        </w:rPr>
        <w:t>(</w:t>
      </w:r>
      <w:r w:rsidRPr="00BD75C8">
        <w:rPr>
          <w:szCs w:val="22"/>
        </w:rPr>
        <w:t>up to 290 mg/100 kJ</w:t>
      </w:r>
      <w:r>
        <w:rPr>
          <w:szCs w:val="22"/>
        </w:rPr>
        <w:t xml:space="preserve">), </w:t>
      </w:r>
      <w:r w:rsidRPr="00BD75C8">
        <w:rPr>
          <w:szCs w:val="22"/>
        </w:rPr>
        <w:t>or ITF</w:t>
      </w:r>
      <w:r>
        <w:rPr>
          <w:szCs w:val="22"/>
        </w:rPr>
        <w:t xml:space="preserve"> and GOS combined (</w:t>
      </w:r>
      <w:r w:rsidRPr="00BD75C8">
        <w:rPr>
          <w:szCs w:val="22"/>
        </w:rPr>
        <w:t>up to 290 mg/100 kJ</w:t>
      </w:r>
      <w:r>
        <w:rPr>
          <w:szCs w:val="22"/>
        </w:rPr>
        <w:t xml:space="preserve">, with </w:t>
      </w:r>
      <w:r w:rsidRPr="00BD75C8">
        <w:rPr>
          <w:szCs w:val="22"/>
        </w:rPr>
        <w:t>no more than 110 mg/kJ of ITF</w:t>
      </w:r>
      <w:r>
        <w:rPr>
          <w:szCs w:val="22"/>
        </w:rPr>
        <w:t>)</w:t>
      </w:r>
      <w:r w:rsidRPr="00BD75C8">
        <w:rPr>
          <w:szCs w:val="22"/>
        </w:rPr>
        <w:t>.</w:t>
      </w:r>
      <w:r>
        <w:rPr>
          <w:szCs w:val="22"/>
        </w:rPr>
        <w:t xml:space="preserve"> </w:t>
      </w:r>
      <w:r w:rsidRPr="00611EFC">
        <w:rPr>
          <w:szCs w:val="22"/>
        </w:rPr>
        <w:t>These amounts were converted</w:t>
      </w:r>
      <w:r>
        <w:rPr>
          <w:szCs w:val="22"/>
        </w:rPr>
        <w:t xml:space="preserve"> </w:t>
      </w:r>
      <w:r w:rsidRPr="00611EFC">
        <w:rPr>
          <w:szCs w:val="22"/>
        </w:rPr>
        <w:t>to the respective mg/100 kJ units</w:t>
      </w:r>
      <w:r>
        <w:rPr>
          <w:szCs w:val="22"/>
        </w:rPr>
        <w:t xml:space="preserve"> for Code purposes from 8 g/L of </w:t>
      </w:r>
      <w:r w:rsidRPr="00611EFC">
        <w:rPr>
          <w:szCs w:val="22"/>
        </w:rPr>
        <w:t>GOS</w:t>
      </w:r>
      <w:r>
        <w:rPr>
          <w:szCs w:val="22"/>
        </w:rPr>
        <w:t xml:space="preserve"> (alone or combined with ITF) and 3 g/L of</w:t>
      </w:r>
      <w:r w:rsidRPr="00611EFC">
        <w:rPr>
          <w:szCs w:val="22"/>
        </w:rPr>
        <w:t xml:space="preserve"> ITF. For FSFYC, the total amount of ITF or GOS must not be more than 1.6 g/serving</w:t>
      </w:r>
      <w:r>
        <w:rPr>
          <w:szCs w:val="22"/>
        </w:rPr>
        <w:t xml:space="preserve"> (</w:t>
      </w:r>
      <w:r w:rsidRPr="00611EFC">
        <w:rPr>
          <w:szCs w:val="22"/>
        </w:rPr>
        <w:t xml:space="preserve">converted from 8 g/L). The permitted maximum amounts take into account both the added and naturally occurring substances. </w:t>
      </w:r>
      <w:r>
        <w:rPr>
          <w:szCs w:val="22"/>
        </w:rPr>
        <w:t>These permissions</w:t>
      </w:r>
      <w:r w:rsidRPr="00844935">
        <w:rPr>
          <w:szCs w:val="22"/>
        </w:rPr>
        <w:t xml:space="preserve"> were gazetted under </w:t>
      </w:r>
      <w:hyperlink r:id="rId21" w:history="1">
        <w:r>
          <w:rPr>
            <w:rStyle w:val="Hyperlink"/>
            <w:szCs w:val="22"/>
          </w:rPr>
          <w:t xml:space="preserve">Proposal P306 </w:t>
        </w:r>
        <w:r w:rsidRPr="00B6293B">
          <w:rPr>
            <w:rStyle w:val="Hyperlink"/>
            <w:szCs w:val="22"/>
          </w:rPr>
          <w:t>–</w:t>
        </w:r>
        <w:r>
          <w:rPr>
            <w:rStyle w:val="Hyperlink"/>
            <w:szCs w:val="22"/>
          </w:rPr>
          <w:t xml:space="preserve"> </w:t>
        </w:r>
        <w:r w:rsidRPr="005154B0">
          <w:rPr>
            <w:rStyle w:val="Hyperlink"/>
            <w:szCs w:val="22"/>
          </w:rPr>
          <w:t>Addition of inulin/FOS &amp; GOS to food</w:t>
        </w:r>
      </w:hyperlink>
      <w:r w:rsidRPr="00844935">
        <w:rPr>
          <w:szCs w:val="22"/>
        </w:rPr>
        <w:t xml:space="preserve"> and </w:t>
      </w:r>
      <w:hyperlink r:id="rId22" w:history="1">
        <w:r w:rsidRPr="005154B0">
          <w:rPr>
            <w:rStyle w:val="Hyperlink"/>
            <w:szCs w:val="22"/>
          </w:rPr>
          <w:t>Application A1055 – Short-chain Fructo-oligosaccharides</w:t>
        </w:r>
      </w:hyperlink>
      <w:r w:rsidRPr="00844935">
        <w:rPr>
          <w:szCs w:val="22"/>
        </w:rPr>
        <w:t>.</w:t>
      </w:r>
      <w:r>
        <w:rPr>
          <w:szCs w:val="22"/>
        </w:rPr>
        <w:t xml:space="preserve"> </w:t>
      </w:r>
    </w:p>
    <w:p w14:paraId="017F2317" w14:textId="77777777" w:rsidR="00ED74BA" w:rsidRPr="005160B3" w:rsidRDefault="00ED74BA" w:rsidP="00ED74BA">
      <w:pPr>
        <w:pStyle w:val="Heading3"/>
        <w:widowControl/>
      </w:pPr>
      <w:bookmarkStart w:id="42" w:name="_Toc525729984"/>
      <w:bookmarkStart w:id="43" w:name="_Toc527018229"/>
      <w:bookmarkStart w:id="44" w:name="_Toc11247895"/>
      <w:bookmarkStart w:id="45" w:name="_Toc14427189"/>
      <w:bookmarkStart w:id="46" w:name="_Toc22303659"/>
      <w:bookmarkStart w:id="47" w:name="_Toc22650322"/>
      <w:r>
        <w:t>1.3.2</w:t>
      </w:r>
      <w:r>
        <w:tab/>
        <w:t>International regulations</w:t>
      </w:r>
      <w:bookmarkEnd w:id="42"/>
      <w:bookmarkEnd w:id="43"/>
      <w:bookmarkEnd w:id="44"/>
      <w:bookmarkEnd w:id="45"/>
      <w:bookmarkEnd w:id="46"/>
      <w:bookmarkEnd w:id="47"/>
    </w:p>
    <w:p w14:paraId="0571CB4D" w14:textId="36B28EC5" w:rsidR="00ED74BA" w:rsidRDefault="00ED74BA" w:rsidP="00ED74BA">
      <w:pPr>
        <w:widowControl/>
      </w:pPr>
      <w:r>
        <w:t>2′-FL and LNnT produced by microbial fermentation and by chemical synthesis are permitted for use in infant formula products, FSFYC and many other foods in at least 37 countries at a range of levels. A summary outlining some of the permissions for infant formula, follow-on formula and toddler milk products is shown in table 1</w:t>
      </w:r>
      <w:r w:rsidR="00F93522">
        <w:t>.</w:t>
      </w:r>
      <w:r>
        <w:t xml:space="preserve"> </w:t>
      </w:r>
    </w:p>
    <w:p w14:paraId="1C974E2D" w14:textId="66300A33" w:rsidR="00ED74BA" w:rsidRDefault="00ED74BA" w:rsidP="00020CB3">
      <w:pPr>
        <w:widowControl/>
        <w:rPr>
          <w:szCs w:val="22"/>
        </w:rPr>
      </w:pPr>
    </w:p>
    <w:p w14:paraId="253D4D39" w14:textId="77777777" w:rsidR="00ED74BA" w:rsidRDefault="00ED74BA" w:rsidP="00ED74BA">
      <w:r>
        <w:t xml:space="preserve">Labelling permissions and restrictions differ across countries, some specify the terminology that must be used for the ingredients on labels while others do not. The different frameworks for nutrition content and health claims for infant formula and other products for young children are also relevant. Some countries permit claims on infant formula and FSFYC products, some that permit claims on follow-on formula and FYFYC, and others only for FSFYC. </w:t>
      </w:r>
    </w:p>
    <w:p w14:paraId="5C044169" w14:textId="77777777" w:rsidR="00ED74BA" w:rsidRDefault="00ED74BA" w:rsidP="00020CB3">
      <w:pPr>
        <w:widowControl/>
        <w:rPr>
          <w:szCs w:val="22"/>
        </w:rPr>
      </w:pPr>
    </w:p>
    <w:p w14:paraId="1E3F7689" w14:textId="77777777" w:rsidR="00305848" w:rsidRDefault="00305848" w:rsidP="00020CB3">
      <w:pPr>
        <w:widowControl/>
        <w:rPr>
          <w:szCs w:val="22"/>
        </w:rPr>
        <w:sectPr w:rsidR="00305848" w:rsidSect="00EB576F">
          <w:pgSz w:w="11906" w:h="16838" w:code="9"/>
          <w:pgMar w:top="1418" w:right="1418" w:bottom="1418" w:left="1418" w:header="709" w:footer="709" w:gutter="0"/>
          <w:pgNumType w:start="1"/>
          <w:cols w:space="708"/>
          <w:docGrid w:linePitch="360"/>
        </w:sectPr>
      </w:pPr>
    </w:p>
    <w:p w14:paraId="50AE64CF" w14:textId="49B2FE77" w:rsidR="008D6324" w:rsidRDefault="008D6324" w:rsidP="00020CB3">
      <w:pPr>
        <w:widowControl/>
      </w:pPr>
    </w:p>
    <w:p w14:paraId="72D8F90A" w14:textId="65AF7297" w:rsidR="00192F77" w:rsidRDefault="00192F77" w:rsidP="00E54D36">
      <w:pPr>
        <w:pStyle w:val="FSTableHeading"/>
      </w:pPr>
      <w:r>
        <w:t xml:space="preserve">Table 1: </w:t>
      </w:r>
      <w:r w:rsidR="002B7430">
        <w:t xml:space="preserve">International permissions for use of </w:t>
      </w:r>
      <w:r w:rsidR="002B7430" w:rsidRPr="002B7430">
        <w:t>2’Fl and LNnT</w:t>
      </w:r>
    </w:p>
    <w:tbl>
      <w:tblPr>
        <w:tblStyle w:val="TableGrid"/>
        <w:tblW w:w="9067" w:type="dxa"/>
        <w:tblLook w:val="04A0" w:firstRow="1" w:lastRow="0" w:firstColumn="1" w:lastColumn="0" w:noHBand="0" w:noVBand="1"/>
        <w:tblCaption w:val="Summary of internatoinal permissions for use of 2'FL and LNnT"/>
        <w:tblDescription w:val="The table lists the maximum permitted amounts for 2'FL and LNnT in infant formula and toddler milk in seven countries. "/>
      </w:tblPr>
      <w:tblGrid>
        <w:gridCol w:w="2199"/>
        <w:gridCol w:w="1765"/>
        <w:gridCol w:w="1701"/>
        <w:gridCol w:w="1701"/>
        <w:gridCol w:w="1701"/>
      </w:tblGrid>
      <w:tr w:rsidR="00C563CA" w14:paraId="6D0BEF56" w14:textId="168E98EB" w:rsidTr="00305848">
        <w:trPr>
          <w:trHeight w:val="252"/>
          <w:tblHeader/>
        </w:trPr>
        <w:tc>
          <w:tcPr>
            <w:tcW w:w="2199" w:type="dxa"/>
            <w:vMerge w:val="restart"/>
            <w:shd w:val="clear" w:color="auto" w:fill="DBE5F1" w:themeFill="accent1" w:themeFillTint="33"/>
            <w:vAlign w:val="center"/>
          </w:tcPr>
          <w:p w14:paraId="47A41AB6" w14:textId="2A2F4B1C" w:rsidR="00C563CA" w:rsidRPr="002D1847" w:rsidRDefault="00C563CA" w:rsidP="002D1847">
            <w:pPr>
              <w:widowControl/>
              <w:rPr>
                <w:b/>
              </w:rPr>
            </w:pPr>
            <w:r w:rsidRPr="002D1847">
              <w:rPr>
                <w:b/>
              </w:rPr>
              <w:t xml:space="preserve">Country </w:t>
            </w:r>
          </w:p>
        </w:tc>
        <w:tc>
          <w:tcPr>
            <w:tcW w:w="3466" w:type="dxa"/>
            <w:gridSpan w:val="2"/>
            <w:shd w:val="clear" w:color="auto" w:fill="DBE5F1" w:themeFill="accent1" w:themeFillTint="33"/>
          </w:tcPr>
          <w:p w14:paraId="2688E6D3" w14:textId="56218037" w:rsidR="00C563CA" w:rsidRPr="002D1847" w:rsidRDefault="00C563CA" w:rsidP="008D6324">
            <w:pPr>
              <w:widowControl/>
              <w:jc w:val="center"/>
              <w:rPr>
                <w:b/>
              </w:rPr>
            </w:pPr>
            <w:r w:rsidRPr="002D1847">
              <w:rPr>
                <w:b/>
              </w:rPr>
              <w:t>2’Fl</w:t>
            </w:r>
          </w:p>
        </w:tc>
        <w:tc>
          <w:tcPr>
            <w:tcW w:w="3402" w:type="dxa"/>
            <w:gridSpan w:val="2"/>
            <w:shd w:val="clear" w:color="auto" w:fill="DBE5F1" w:themeFill="accent1" w:themeFillTint="33"/>
          </w:tcPr>
          <w:p w14:paraId="778D3DD1" w14:textId="357D1E07" w:rsidR="00C563CA" w:rsidRPr="002D1847" w:rsidRDefault="00C563CA" w:rsidP="008D6324">
            <w:pPr>
              <w:widowControl/>
              <w:jc w:val="center"/>
              <w:rPr>
                <w:b/>
              </w:rPr>
            </w:pPr>
            <w:r w:rsidRPr="002D1847">
              <w:rPr>
                <w:b/>
              </w:rPr>
              <w:t>LNnT</w:t>
            </w:r>
          </w:p>
        </w:tc>
      </w:tr>
      <w:tr w:rsidR="00C563CA" w14:paraId="1C0A77A9" w14:textId="008981F3" w:rsidTr="00305848">
        <w:trPr>
          <w:trHeight w:val="771"/>
          <w:tblHeader/>
        </w:trPr>
        <w:tc>
          <w:tcPr>
            <w:tcW w:w="2199" w:type="dxa"/>
            <w:vMerge/>
            <w:shd w:val="clear" w:color="auto" w:fill="DBE5F1" w:themeFill="accent1" w:themeFillTint="33"/>
          </w:tcPr>
          <w:p w14:paraId="7DE9A967" w14:textId="77777777" w:rsidR="00C563CA" w:rsidRPr="002D1847" w:rsidRDefault="00C563CA" w:rsidP="008D6324">
            <w:pPr>
              <w:widowControl/>
              <w:rPr>
                <w:b/>
              </w:rPr>
            </w:pPr>
          </w:p>
        </w:tc>
        <w:tc>
          <w:tcPr>
            <w:tcW w:w="1765" w:type="dxa"/>
            <w:shd w:val="clear" w:color="auto" w:fill="DBE5F1" w:themeFill="accent1" w:themeFillTint="33"/>
          </w:tcPr>
          <w:p w14:paraId="0814DBAB" w14:textId="28626308" w:rsidR="00C563CA" w:rsidRPr="002D1847" w:rsidRDefault="00C563CA" w:rsidP="00C563CA">
            <w:pPr>
              <w:widowControl/>
              <w:jc w:val="center"/>
              <w:rPr>
                <w:b/>
              </w:rPr>
            </w:pPr>
            <w:r w:rsidRPr="002D1847">
              <w:rPr>
                <w:b/>
              </w:rPr>
              <w:t>Max use level IF</w:t>
            </w:r>
          </w:p>
        </w:tc>
        <w:tc>
          <w:tcPr>
            <w:tcW w:w="1701" w:type="dxa"/>
            <w:shd w:val="clear" w:color="auto" w:fill="DBE5F1" w:themeFill="accent1" w:themeFillTint="33"/>
          </w:tcPr>
          <w:p w14:paraId="4AA7A24E" w14:textId="04BE7581" w:rsidR="00C563CA" w:rsidRPr="002D1847" w:rsidRDefault="00C563CA" w:rsidP="00C563CA">
            <w:pPr>
              <w:widowControl/>
              <w:jc w:val="center"/>
              <w:rPr>
                <w:b/>
              </w:rPr>
            </w:pPr>
            <w:r w:rsidRPr="002D1847">
              <w:rPr>
                <w:b/>
              </w:rPr>
              <w:t>Max use level Toddler milks</w:t>
            </w:r>
          </w:p>
        </w:tc>
        <w:tc>
          <w:tcPr>
            <w:tcW w:w="1701" w:type="dxa"/>
            <w:shd w:val="clear" w:color="auto" w:fill="DBE5F1" w:themeFill="accent1" w:themeFillTint="33"/>
          </w:tcPr>
          <w:p w14:paraId="4A54DD5A" w14:textId="38B91B33" w:rsidR="00C563CA" w:rsidRPr="002D1847" w:rsidRDefault="00C563CA" w:rsidP="00C563CA">
            <w:pPr>
              <w:widowControl/>
              <w:jc w:val="center"/>
              <w:rPr>
                <w:b/>
              </w:rPr>
            </w:pPr>
            <w:r w:rsidRPr="002D1847">
              <w:rPr>
                <w:b/>
              </w:rPr>
              <w:t>Max use level IF</w:t>
            </w:r>
          </w:p>
        </w:tc>
        <w:tc>
          <w:tcPr>
            <w:tcW w:w="1701" w:type="dxa"/>
            <w:shd w:val="clear" w:color="auto" w:fill="DBE5F1" w:themeFill="accent1" w:themeFillTint="33"/>
          </w:tcPr>
          <w:p w14:paraId="364B070B" w14:textId="6BBD7562" w:rsidR="00C563CA" w:rsidRPr="002D1847" w:rsidRDefault="00C563CA" w:rsidP="00C563CA">
            <w:pPr>
              <w:widowControl/>
              <w:jc w:val="center"/>
              <w:rPr>
                <w:b/>
              </w:rPr>
            </w:pPr>
            <w:r w:rsidRPr="002D1847">
              <w:rPr>
                <w:b/>
              </w:rPr>
              <w:t>Max use level Toddler milks</w:t>
            </w:r>
          </w:p>
        </w:tc>
      </w:tr>
      <w:tr w:rsidR="00867E99" w14:paraId="7FFDB256" w14:textId="7759FA93" w:rsidTr="00305848">
        <w:tc>
          <w:tcPr>
            <w:tcW w:w="2199" w:type="dxa"/>
          </w:tcPr>
          <w:p w14:paraId="589D4265" w14:textId="135032E6" w:rsidR="00867E99" w:rsidRDefault="00867E99" w:rsidP="00867E99">
            <w:pPr>
              <w:widowControl/>
            </w:pPr>
            <w:r>
              <w:t xml:space="preserve">United States </w:t>
            </w:r>
          </w:p>
        </w:tc>
        <w:tc>
          <w:tcPr>
            <w:tcW w:w="1765" w:type="dxa"/>
          </w:tcPr>
          <w:p w14:paraId="2408F8C8" w14:textId="1C5BAEFE" w:rsidR="00867E99" w:rsidRDefault="00867E99" w:rsidP="00CA6AD7">
            <w:pPr>
              <w:widowControl/>
              <w:jc w:val="center"/>
            </w:pPr>
            <w:r>
              <w:t>2.4 g/L</w:t>
            </w:r>
          </w:p>
        </w:tc>
        <w:tc>
          <w:tcPr>
            <w:tcW w:w="1701" w:type="dxa"/>
          </w:tcPr>
          <w:p w14:paraId="4298EE60" w14:textId="50713713" w:rsidR="00867E99" w:rsidRDefault="00867E99" w:rsidP="00CA6AD7">
            <w:pPr>
              <w:widowControl/>
              <w:jc w:val="center"/>
            </w:pPr>
            <w:r>
              <w:t>2.4 g/L</w:t>
            </w:r>
          </w:p>
        </w:tc>
        <w:tc>
          <w:tcPr>
            <w:tcW w:w="1701" w:type="dxa"/>
          </w:tcPr>
          <w:p w14:paraId="45A840C4" w14:textId="78434E42" w:rsidR="00867E99" w:rsidRDefault="00867E99" w:rsidP="00CA6AD7">
            <w:pPr>
              <w:widowControl/>
              <w:jc w:val="center"/>
            </w:pPr>
            <w:r>
              <w:t>0.6 g/L</w:t>
            </w:r>
          </w:p>
        </w:tc>
        <w:tc>
          <w:tcPr>
            <w:tcW w:w="1701" w:type="dxa"/>
          </w:tcPr>
          <w:p w14:paraId="51EECCF1" w14:textId="491E250D" w:rsidR="00867E99" w:rsidRDefault="00867E99" w:rsidP="00CA6AD7">
            <w:pPr>
              <w:widowControl/>
              <w:jc w:val="center"/>
            </w:pPr>
            <w:r>
              <w:t>0.6 g/L</w:t>
            </w:r>
          </w:p>
        </w:tc>
      </w:tr>
      <w:tr w:rsidR="00C563CA" w14:paraId="3327CE18" w14:textId="513916FC" w:rsidTr="00305848">
        <w:trPr>
          <w:trHeight w:val="252"/>
        </w:trPr>
        <w:tc>
          <w:tcPr>
            <w:tcW w:w="2199" w:type="dxa"/>
          </w:tcPr>
          <w:p w14:paraId="42AF88CD" w14:textId="32FC8C66" w:rsidR="00C563CA" w:rsidRDefault="00C563CA" w:rsidP="008D6324">
            <w:pPr>
              <w:widowControl/>
            </w:pPr>
            <w:r>
              <w:t>Canada</w:t>
            </w:r>
            <w:r w:rsidRPr="00C563CA">
              <w:rPr>
                <w:vertAlign w:val="superscript"/>
              </w:rPr>
              <w:t>#</w:t>
            </w:r>
          </w:p>
        </w:tc>
        <w:tc>
          <w:tcPr>
            <w:tcW w:w="1765" w:type="dxa"/>
          </w:tcPr>
          <w:p w14:paraId="631FE82D" w14:textId="482492C9" w:rsidR="00C563CA" w:rsidRDefault="00BE26CD" w:rsidP="00CA6AD7">
            <w:pPr>
              <w:widowControl/>
              <w:jc w:val="center"/>
            </w:pPr>
            <w:r>
              <w:t>1.2 g/L</w:t>
            </w:r>
          </w:p>
        </w:tc>
        <w:tc>
          <w:tcPr>
            <w:tcW w:w="1701" w:type="dxa"/>
          </w:tcPr>
          <w:p w14:paraId="58DD0C25" w14:textId="65E90BEE" w:rsidR="00C563CA" w:rsidRDefault="00BE26CD" w:rsidP="00CA6AD7">
            <w:pPr>
              <w:widowControl/>
              <w:jc w:val="center"/>
            </w:pPr>
            <w:r>
              <w:t>1.2 g/L</w:t>
            </w:r>
          </w:p>
        </w:tc>
        <w:tc>
          <w:tcPr>
            <w:tcW w:w="1701" w:type="dxa"/>
          </w:tcPr>
          <w:p w14:paraId="66356CAA" w14:textId="17712497" w:rsidR="00C563CA" w:rsidRDefault="00867E99" w:rsidP="00CA6AD7">
            <w:pPr>
              <w:widowControl/>
              <w:jc w:val="center"/>
            </w:pPr>
            <w:r>
              <w:t>-</w:t>
            </w:r>
          </w:p>
        </w:tc>
        <w:tc>
          <w:tcPr>
            <w:tcW w:w="1701" w:type="dxa"/>
          </w:tcPr>
          <w:p w14:paraId="1633AECC" w14:textId="0EAC16B6" w:rsidR="00C563CA" w:rsidRDefault="00867E99" w:rsidP="00CA6AD7">
            <w:pPr>
              <w:widowControl/>
              <w:jc w:val="center"/>
            </w:pPr>
            <w:r>
              <w:t>-</w:t>
            </w:r>
          </w:p>
        </w:tc>
      </w:tr>
      <w:tr w:rsidR="00C563CA" w14:paraId="6E5975A9" w14:textId="57C57524" w:rsidTr="00305848">
        <w:trPr>
          <w:trHeight w:val="252"/>
        </w:trPr>
        <w:tc>
          <w:tcPr>
            <w:tcW w:w="2199" w:type="dxa"/>
          </w:tcPr>
          <w:p w14:paraId="191A42B7" w14:textId="2D3A892E" w:rsidR="00C563CA" w:rsidRDefault="00C563CA" w:rsidP="008D6324">
            <w:pPr>
              <w:widowControl/>
            </w:pPr>
            <w:r>
              <w:t xml:space="preserve">Singapore </w:t>
            </w:r>
          </w:p>
        </w:tc>
        <w:tc>
          <w:tcPr>
            <w:tcW w:w="1765" w:type="dxa"/>
          </w:tcPr>
          <w:p w14:paraId="1F7E31B6" w14:textId="57B1B7C6" w:rsidR="00C563CA" w:rsidRDefault="00C563CA" w:rsidP="00CA6AD7">
            <w:pPr>
              <w:widowControl/>
              <w:jc w:val="center"/>
            </w:pPr>
            <w:r>
              <w:t>1.2 g/L</w:t>
            </w:r>
          </w:p>
        </w:tc>
        <w:tc>
          <w:tcPr>
            <w:tcW w:w="1701" w:type="dxa"/>
          </w:tcPr>
          <w:p w14:paraId="5CFCEE93" w14:textId="56D0EA3E" w:rsidR="00C563CA" w:rsidRDefault="002655D8" w:rsidP="00CA6AD7">
            <w:pPr>
              <w:widowControl/>
              <w:jc w:val="center"/>
            </w:pPr>
            <w:r>
              <w:t>1.2 g/L</w:t>
            </w:r>
            <w:r w:rsidDel="002655D8">
              <w:t xml:space="preserve"> </w:t>
            </w:r>
          </w:p>
        </w:tc>
        <w:tc>
          <w:tcPr>
            <w:tcW w:w="1701" w:type="dxa"/>
          </w:tcPr>
          <w:p w14:paraId="72BE30D0" w14:textId="464452D8" w:rsidR="00C563CA" w:rsidRDefault="00C563CA" w:rsidP="00CA6AD7">
            <w:pPr>
              <w:widowControl/>
              <w:jc w:val="center"/>
            </w:pPr>
            <w:r>
              <w:t>0.6 g/L</w:t>
            </w:r>
          </w:p>
        </w:tc>
        <w:tc>
          <w:tcPr>
            <w:tcW w:w="1701" w:type="dxa"/>
          </w:tcPr>
          <w:p w14:paraId="4D2BC649" w14:textId="7AB3AF57" w:rsidR="00C563CA" w:rsidRDefault="002655D8" w:rsidP="00CA6AD7">
            <w:pPr>
              <w:widowControl/>
              <w:jc w:val="center"/>
            </w:pPr>
            <w:r>
              <w:t>0.6 g/L</w:t>
            </w:r>
          </w:p>
        </w:tc>
      </w:tr>
      <w:tr w:rsidR="00C563CA" w14:paraId="6CBBC74E" w14:textId="2362C10D" w:rsidTr="00305848">
        <w:trPr>
          <w:trHeight w:val="252"/>
        </w:trPr>
        <w:tc>
          <w:tcPr>
            <w:tcW w:w="2199" w:type="dxa"/>
          </w:tcPr>
          <w:p w14:paraId="7903C2B0" w14:textId="29334CED" w:rsidR="00C563CA" w:rsidRDefault="00C563CA" w:rsidP="008D6324">
            <w:pPr>
              <w:widowControl/>
            </w:pPr>
            <w:r>
              <w:t>EU</w:t>
            </w:r>
          </w:p>
        </w:tc>
        <w:tc>
          <w:tcPr>
            <w:tcW w:w="1765" w:type="dxa"/>
          </w:tcPr>
          <w:p w14:paraId="2050C22A" w14:textId="3635FDA6" w:rsidR="00C563CA" w:rsidRDefault="00C563CA" w:rsidP="00CA6AD7">
            <w:pPr>
              <w:widowControl/>
              <w:jc w:val="center"/>
            </w:pPr>
            <w:r>
              <w:t>1.2 g/L^</w:t>
            </w:r>
          </w:p>
        </w:tc>
        <w:tc>
          <w:tcPr>
            <w:tcW w:w="1701" w:type="dxa"/>
          </w:tcPr>
          <w:p w14:paraId="0336EA01" w14:textId="596C7D12" w:rsidR="00C563CA" w:rsidRDefault="002655D8" w:rsidP="00CA6AD7">
            <w:pPr>
              <w:widowControl/>
              <w:jc w:val="center"/>
            </w:pPr>
            <w:r>
              <w:t>1.2 g/L^</w:t>
            </w:r>
          </w:p>
        </w:tc>
        <w:tc>
          <w:tcPr>
            <w:tcW w:w="1701" w:type="dxa"/>
          </w:tcPr>
          <w:p w14:paraId="573F1843" w14:textId="385781FE" w:rsidR="00C563CA" w:rsidRDefault="00C563CA" w:rsidP="00CA6AD7">
            <w:pPr>
              <w:widowControl/>
              <w:jc w:val="center"/>
            </w:pPr>
            <w:r>
              <w:t>0.6 g/L</w:t>
            </w:r>
          </w:p>
        </w:tc>
        <w:tc>
          <w:tcPr>
            <w:tcW w:w="1701" w:type="dxa"/>
          </w:tcPr>
          <w:p w14:paraId="1E94E418" w14:textId="47286C20" w:rsidR="00C563CA" w:rsidRDefault="002655D8" w:rsidP="00CA6AD7">
            <w:pPr>
              <w:widowControl/>
              <w:jc w:val="center"/>
            </w:pPr>
            <w:r>
              <w:t>0.6 g/L</w:t>
            </w:r>
          </w:p>
        </w:tc>
      </w:tr>
      <w:tr w:rsidR="00C563CA" w14:paraId="687DAB2C" w14:textId="50FF346D" w:rsidTr="00305848">
        <w:trPr>
          <w:trHeight w:val="252"/>
        </w:trPr>
        <w:tc>
          <w:tcPr>
            <w:tcW w:w="2199" w:type="dxa"/>
          </w:tcPr>
          <w:p w14:paraId="7AD9FC36" w14:textId="05B1CEBB" w:rsidR="00C563CA" w:rsidRDefault="00C563CA" w:rsidP="008D6324">
            <w:pPr>
              <w:widowControl/>
            </w:pPr>
            <w:r>
              <w:t>Israel</w:t>
            </w:r>
          </w:p>
        </w:tc>
        <w:tc>
          <w:tcPr>
            <w:tcW w:w="1765" w:type="dxa"/>
          </w:tcPr>
          <w:p w14:paraId="17ADA4B9" w14:textId="2D89EDBC" w:rsidR="00C563CA" w:rsidRDefault="00C563CA" w:rsidP="00CA6AD7">
            <w:pPr>
              <w:widowControl/>
              <w:jc w:val="center"/>
            </w:pPr>
            <w:r>
              <w:t>2 g/L*</w:t>
            </w:r>
          </w:p>
        </w:tc>
        <w:tc>
          <w:tcPr>
            <w:tcW w:w="1701" w:type="dxa"/>
          </w:tcPr>
          <w:p w14:paraId="1E1A0D51" w14:textId="16B7FABF" w:rsidR="00C563CA" w:rsidRDefault="002655D8" w:rsidP="00CA6AD7">
            <w:pPr>
              <w:widowControl/>
              <w:jc w:val="center"/>
            </w:pPr>
            <w:r>
              <w:t>2 g/L*</w:t>
            </w:r>
            <w:r w:rsidR="00DA377F">
              <w:t>-</w:t>
            </w:r>
          </w:p>
        </w:tc>
        <w:tc>
          <w:tcPr>
            <w:tcW w:w="1701" w:type="dxa"/>
          </w:tcPr>
          <w:p w14:paraId="5797EA33" w14:textId="6E7A3DEF" w:rsidR="00C563CA" w:rsidRDefault="00C563CA" w:rsidP="00CA6AD7">
            <w:pPr>
              <w:widowControl/>
              <w:jc w:val="center"/>
            </w:pPr>
            <w:r>
              <w:t>0.6 g/L</w:t>
            </w:r>
          </w:p>
        </w:tc>
        <w:tc>
          <w:tcPr>
            <w:tcW w:w="1701" w:type="dxa"/>
          </w:tcPr>
          <w:p w14:paraId="698B0CEA" w14:textId="360A4534" w:rsidR="00C563CA" w:rsidRDefault="002655D8" w:rsidP="00CA6AD7">
            <w:pPr>
              <w:widowControl/>
              <w:jc w:val="center"/>
            </w:pPr>
            <w:r>
              <w:t>0.6 g/L</w:t>
            </w:r>
          </w:p>
        </w:tc>
      </w:tr>
      <w:tr w:rsidR="00C563CA" w14:paraId="1A3B8D4A" w14:textId="77777777" w:rsidTr="00305848">
        <w:trPr>
          <w:trHeight w:val="252"/>
        </w:trPr>
        <w:tc>
          <w:tcPr>
            <w:tcW w:w="2199" w:type="dxa"/>
          </w:tcPr>
          <w:p w14:paraId="4EA59C23" w14:textId="22FED260" w:rsidR="00C563CA" w:rsidRDefault="00C563CA" w:rsidP="008D6324">
            <w:pPr>
              <w:widowControl/>
            </w:pPr>
            <w:r>
              <w:t xml:space="preserve">Korea </w:t>
            </w:r>
          </w:p>
        </w:tc>
        <w:tc>
          <w:tcPr>
            <w:tcW w:w="1765" w:type="dxa"/>
          </w:tcPr>
          <w:p w14:paraId="4263BE43" w14:textId="3E44AA4A" w:rsidR="00C563CA" w:rsidRDefault="00C563CA" w:rsidP="00CA6AD7">
            <w:pPr>
              <w:widowControl/>
              <w:jc w:val="center"/>
            </w:pPr>
            <w:r>
              <w:t>2 g/L</w:t>
            </w:r>
          </w:p>
        </w:tc>
        <w:tc>
          <w:tcPr>
            <w:tcW w:w="1701" w:type="dxa"/>
          </w:tcPr>
          <w:p w14:paraId="5B1DF78D" w14:textId="70FC91A6" w:rsidR="00C563CA" w:rsidRDefault="00DA377F" w:rsidP="00CA6AD7">
            <w:pPr>
              <w:widowControl/>
              <w:jc w:val="center"/>
            </w:pPr>
            <w:r>
              <w:t>-</w:t>
            </w:r>
          </w:p>
        </w:tc>
        <w:tc>
          <w:tcPr>
            <w:tcW w:w="1701" w:type="dxa"/>
          </w:tcPr>
          <w:p w14:paraId="27AEB158" w14:textId="5160A4CA" w:rsidR="00C563CA" w:rsidRDefault="00E54D36" w:rsidP="00CA6AD7">
            <w:pPr>
              <w:widowControl/>
              <w:jc w:val="center"/>
            </w:pPr>
            <w:r>
              <w:t>-</w:t>
            </w:r>
          </w:p>
        </w:tc>
        <w:tc>
          <w:tcPr>
            <w:tcW w:w="1701" w:type="dxa"/>
          </w:tcPr>
          <w:p w14:paraId="7D074052" w14:textId="29C1D718" w:rsidR="00C563CA" w:rsidRDefault="00E54D36" w:rsidP="00CA6AD7">
            <w:pPr>
              <w:widowControl/>
              <w:jc w:val="center"/>
            </w:pPr>
            <w:r>
              <w:t>-</w:t>
            </w:r>
          </w:p>
        </w:tc>
      </w:tr>
      <w:tr w:rsidR="00C563CA" w14:paraId="49FAA184" w14:textId="77777777" w:rsidTr="00305848">
        <w:trPr>
          <w:trHeight w:val="252"/>
        </w:trPr>
        <w:tc>
          <w:tcPr>
            <w:tcW w:w="2199" w:type="dxa"/>
          </w:tcPr>
          <w:p w14:paraId="4F600FEC" w14:textId="26561025" w:rsidR="00C563CA" w:rsidRDefault="00C563CA" w:rsidP="008D6324">
            <w:pPr>
              <w:widowControl/>
            </w:pPr>
            <w:r>
              <w:t xml:space="preserve">Philippines </w:t>
            </w:r>
          </w:p>
        </w:tc>
        <w:tc>
          <w:tcPr>
            <w:tcW w:w="1765" w:type="dxa"/>
          </w:tcPr>
          <w:p w14:paraId="334FACF9" w14:textId="4ED2C76E" w:rsidR="00C563CA" w:rsidRDefault="00BE26CD" w:rsidP="00CA6AD7">
            <w:pPr>
              <w:widowControl/>
              <w:jc w:val="center"/>
            </w:pPr>
            <w:r>
              <w:t>1.2 g/L</w:t>
            </w:r>
          </w:p>
        </w:tc>
        <w:tc>
          <w:tcPr>
            <w:tcW w:w="1701" w:type="dxa"/>
          </w:tcPr>
          <w:p w14:paraId="12AB96F0" w14:textId="29A951F5" w:rsidR="00C563CA" w:rsidRDefault="00BE26CD" w:rsidP="00CA6AD7">
            <w:pPr>
              <w:widowControl/>
              <w:jc w:val="center"/>
            </w:pPr>
            <w:r>
              <w:t>-</w:t>
            </w:r>
          </w:p>
        </w:tc>
        <w:tc>
          <w:tcPr>
            <w:tcW w:w="1701" w:type="dxa"/>
          </w:tcPr>
          <w:p w14:paraId="5BCA3DCB" w14:textId="7206BA01" w:rsidR="00C563CA" w:rsidRDefault="00BE26CD" w:rsidP="00CA6AD7">
            <w:pPr>
              <w:widowControl/>
              <w:jc w:val="center"/>
            </w:pPr>
            <w:r>
              <w:t>-</w:t>
            </w:r>
          </w:p>
        </w:tc>
        <w:tc>
          <w:tcPr>
            <w:tcW w:w="1701" w:type="dxa"/>
          </w:tcPr>
          <w:p w14:paraId="78B16EF5" w14:textId="76282C50" w:rsidR="00C563CA" w:rsidRDefault="00BE26CD" w:rsidP="00CA6AD7">
            <w:pPr>
              <w:widowControl/>
              <w:jc w:val="center"/>
            </w:pPr>
            <w:r>
              <w:t>-</w:t>
            </w:r>
          </w:p>
        </w:tc>
      </w:tr>
    </w:tbl>
    <w:p w14:paraId="665CCBB9" w14:textId="77777777" w:rsidR="008519BD" w:rsidRPr="008519BD" w:rsidRDefault="008519BD" w:rsidP="00020CB3">
      <w:pPr>
        <w:widowControl/>
        <w:rPr>
          <w:sz w:val="18"/>
        </w:rPr>
      </w:pPr>
      <w:r w:rsidRPr="008519BD">
        <w:rPr>
          <w:sz w:val="18"/>
        </w:rPr>
        <w:t xml:space="preserve">Notes to table: </w:t>
      </w:r>
    </w:p>
    <w:p w14:paraId="06FB18C9" w14:textId="5C0A7D9F" w:rsidR="008D6324" w:rsidRPr="008519BD" w:rsidRDefault="00C563CA" w:rsidP="00020CB3">
      <w:pPr>
        <w:widowControl/>
        <w:rPr>
          <w:sz w:val="18"/>
        </w:rPr>
      </w:pPr>
      <w:r w:rsidRPr="008519BD">
        <w:rPr>
          <w:sz w:val="18"/>
        </w:rPr>
        <w:t>^ alone or in combination with LNnT</w:t>
      </w:r>
    </w:p>
    <w:p w14:paraId="4498A014" w14:textId="372CAD3D" w:rsidR="008D6324" w:rsidRPr="008519BD" w:rsidRDefault="00C563CA" w:rsidP="00020CB3">
      <w:pPr>
        <w:widowControl/>
        <w:rPr>
          <w:sz w:val="18"/>
        </w:rPr>
      </w:pPr>
      <w:r w:rsidRPr="008519BD">
        <w:rPr>
          <w:sz w:val="18"/>
        </w:rPr>
        <w:t xml:space="preserve"># permission as novel food no clear permission for use in IF </w:t>
      </w:r>
    </w:p>
    <w:p w14:paraId="5B97D6B9" w14:textId="18021994" w:rsidR="008D6324" w:rsidRPr="008519BD" w:rsidRDefault="00C563CA" w:rsidP="00C563CA">
      <w:pPr>
        <w:widowControl/>
        <w:rPr>
          <w:sz w:val="18"/>
        </w:rPr>
      </w:pPr>
      <w:r w:rsidRPr="008519BD">
        <w:rPr>
          <w:sz w:val="18"/>
        </w:rPr>
        <w:t>*</w:t>
      </w:r>
      <w:r w:rsidR="008519BD">
        <w:rPr>
          <w:sz w:val="18"/>
        </w:rPr>
        <w:t xml:space="preserve"> </w:t>
      </w:r>
      <w:r w:rsidRPr="008519BD">
        <w:rPr>
          <w:sz w:val="18"/>
        </w:rPr>
        <w:t xml:space="preserve">when used alone, 1.2 max when used in combination with LNnT </w:t>
      </w:r>
    </w:p>
    <w:p w14:paraId="10D11CF4" w14:textId="77777777" w:rsidR="008D6324" w:rsidRPr="009B1944" w:rsidRDefault="008D6324" w:rsidP="00020CB3">
      <w:pPr>
        <w:widowControl/>
      </w:pPr>
    </w:p>
    <w:p w14:paraId="2BA73EE9" w14:textId="613AF24B" w:rsidR="005024C9" w:rsidRPr="00E2076E" w:rsidRDefault="00983458" w:rsidP="00E2076E">
      <w:r w:rsidRPr="00E2076E">
        <w:t xml:space="preserve">An international influence in the </w:t>
      </w:r>
      <w:r w:rsidR="00CA19A4">
        <w:t xml:space="preserve">labelling and advertising of </w:t>
      </w:r>
      <w:r w:rsidRPr="00E2076E">
        <w:t>infant formula is the International Code of Marketing of Breast-milk Substitutes (WHO 1981), commonly known as the WHO Code. The WHO Code was adopted in 1981 and recommends various requirements and restrictions for the marketing and distribution of breast milk substitutes for industry and health care workers. Various national authorities have implemented the WHO Code within their respective jurisdictions</w:t>
      </w:r>
      <w:r w:rsidR="00E2076E" w:rsidRPr="00E2076E">
        <w:t xml:space="preserve">. </w:t>
      </w:r>
      <w:r w:rsidR="002D1847" w:rsidRPr="00E2076E">
        <w:t>The</w:t>
      </w:r>
      <w:r w:rsidR="00E2076E" w:rsidRPr="00E2076E">
        <w:t xml:space="preserve"> labelling differences discussed </w:t>
      </w:r>
      <w:r w:rsidR="00CA19A4">
        <w:t xml:space="preserve">below </w:t>
      </w:r>
      <w:r w:rsidR="00E2076E" w:rsidRPr="00E2076E">
        <w:t xml:space="preserve">are </w:t>
      </w:r>
      <w:r w:rsidR="00CA19A4">
        <w:t xml:space="preserve">influenced by </w:t>
      </w:r>
      <w:r w:rsidR="002D1847" w:rsidRPr="00E2076E">
        <w:t>whether c</w:t>
      </w:r>
      <w:r w:rsidR="00E2076E">
        <w:t>ountries are signatories to the</w:t>
      </w:r>
      <w:r w:rsidR="002D1847" w:rsidRPr="00E2076E">
        <w:t xml:space="preserve"> </w:t>
      </w:r>
      <w:r w:rsidR="00E2076E" w:rsidRPr="00E2076E">
        <w:t xml:space="preserve">WHO Code. </w:t>
      </w:r>
      <w:r w:rsidR="00192F77" w:rsidRPr="00E2076E">
        <w:t xml:space="preserve">Most countries that are signatories restrict the claims and representations that are allowed on the label and/or advertising to align with the WHO Code. </w:t>
      </w:r>
      <w:r w:rsidR="00CA19A4">
        <w:t>For example, i</w:t>
      </w:r>
      <w:r w:rsidR="00192F77" w:rsidRPr="00E2076E">
        <w:t>n Canada, infant formula cannot be compared with breast-milk,</w:t>
      </w:r>
      <w:r w:rsidR="0078575D" w:rsidRPr="00E2076E">
        <w:t xml:space="preserve"> and </w:t>
      </w:r>
      <w:r w:rsidR="00192F77" w:rsidRPr="00E2076E">
        <w:t xml:space="preserve">highlighting an ingredient in infant formula as a key component of </w:t>
      </w:r>
      <w:r w:rsidR="00A9269B">
        <w:t>breast milk</w:t>
      </w:r>
      <w:r w:rsidR="00192F77" w:rsidRPr="00E2076E">
        <w:t xml:space="preserve"> is considered misleading</w:t>
      </w:r>
      <w:r w:rsidR="0078575D" w:rsidRPr="00E2076E">
        <w:t xml:space="preserve">. In the </w:t>
      </w:r>
      <w:r w:rsidR="00711400" w:rsidRPr="00E2076E">
        <w:t>USA</w:t>
      </w:r>
      <w:r w:rsidR="00CA19A4">
        <w:t>, some types of claims</w:t>
      </w:r>
      <w:r w:rsidR="007014E0">
        <w:t xml:space="preserve"> are</w:t>
      </w:r>
      <w:r w:rsidR="00CA19A4">
        <w:t xml:space="preserve"> permitted to be used in infant formula labelling</w:t>
      </w:r>
      <w:r w:rsidR="00192F77" w:rsidRPr="00E2076E">
        <w:t>.</w:t>
      </w:r>
      <w:r w:rsidR="00711400" w:rsidRPr="00E2076E">
        <w:t xml:space="preserve"> Singapore has recently introduced a similar restriction on statements that any ingredient is sourced/obtained</w:t>
      </w:r>
      <w:r w:rsidR="00A73255">
        <w:t xml:space="preserve"> from</w:t>
      </w:r>
      <w:r w:rsidR="00711400" w:rsidRPr="00E2076E">
        <w:t xml:space="preserve"> or similar to </w:t>
      </w:r>
      <w:r w:rsidR="00A9269B">
        <w:t>breast milk</w:t>
      </w:r>
      <w:r w:rsidR="00711400" w:rsidRPr="00E2076E">
        <w:t>.</w:t>
      </w:r>
      <w:r w:rsidR="00192F77" w:rsidRPr="00E2076E">
        <w:t xml:space="preserve"> Table 2 s</w:t>
      </w:r>
      <w:r w:rsidR="00CA19A4">
        <w:t xml:space="preserve">ummarises </w:t>
      </w:r>
      <w:r w:rsidR="00192F77" w:rsidRPr="00E2076E">
        <w:t>some of the differences between coun</w:t>
      </w:r>
      <w:r w:rsidR="00E2076E">
        <w:t xml:space="preserve">tries in </w:t>
      </w:r>
      <w:r w:rsidR="00CA19A4">
        <w:t xml:space="preserve">relation to infant formula </w:t>
      </w:r>
      <w:r w:rsidR="00E2076E">
        <w:t xml:space="preserve">labelling </w:t>
      </w:r>
      <w:r w:rsidR="00CA19A4">
        <w:t xml:space="preserve">requirements and </w:t>
      </w:r>
      <w:r w:rsidR="00E2076E">
        <w:t xml:space="preserve">restrictions. </w:t>
      </w:r>
      <w:r w:rsidR="00192F77" w:rsidRPr="00E2076E">
        <w:t xml:space="preserve"> </w:t>
      </w:r>
    </w:p>
    <w:p w14:paraId="1CBF6CD0" w14:textId="77777777" w:rsidR="00E2076E" w:rsidRDefault="00E2076E" w:rsidP="006A2587">
      <w:pPr>
        <w:rPr>
          <w:lang w:bidi="ar-SA"/>
        </w:rPr>
      </w:pPr>
    </w:p>
    <w:p w14:paraId="4F7FF4A3" w14:textId="77777777" w:rsidR="00192F77" w:rsidRDefault="00192F77" w:rsidP="006A2587">
      <w:pPr>
        <w:rPr>
          <w:lang w:bidi="ar-SA"/>
        </w:rPr>
        <w:sectPr w:rsidR="00192F77" w:rsidSect="00305848">
          <w:footerReference w:type="default" r:id="rId23"/>
          <w:pgSz w:w="11906" w:h="16838" w:code="9"/>
          <w:pgMar w:top="1418" w:right="1418" w:bottom="1418" w:left="1418" w:header="709" w:footer="709" w:gutter="0"/>
          <w:cols w:space="708"/>
          <w:docGrid w:linePitch="360"/>
        </w:sectPr>
      </w:pPr>
    </w:p>
    <w:p w14:paraId="0F89B486" w14:textId="59CBBFE7" w:rsidR="006A2587" w:rsidRDefault="006A2587" w:rsidP="00E17394">
      <w:pPr>
        <w:pStyle w:val="FSTableHeading"/>
        <w:rPr>
          <w:lang w:bidi="ar-SA"/>
        </w:rPr>
      </w:pPr>
      <w:r>
        <w:rPr>
          <w:lang w:bidi="ar-SA"/>
        </w:rPr>
        <w:t xml:space="preserve">Table </w:t>
      </w:r>
      <w:r w:rsidR="00192F77">
        <w:rPr>
          <w:lang w:bidi="ar-SA"/>
        </w:rPr>
        <w:t>2</w:t>
      </w:r>
      <w:r w:rsidR="00E17394">
        <w:rPr>
          <w:lang w:bidi="ar-SA"/>
        </w:rPr>
        <w:t>a</w:t>
      </w:r>
      <w:r w:rsidR="00192F77">
        <w:rPr>
          <w:lang w:bidi="ar-SA"/>
        </w:rPr>
        <w:t xml:space="preserve">: </w:t>
      </w:r>
      <w:r w:rsidR="00E17394">
        <w:rPr>
          <w:lang w:bidi="ar-SA"/>
        </w:rPr>
        <w:t xml:space="preserve">Labelling framework for infant formula </w:t>
      </w:r>
      <w:r w:rsidR="007014E0">
        <w:t xml:space="preserve">in selected countries or regions  </w:t>
      </w:r>
      <w:r>
        <w:rPr>
          <w:lang w:bidi="ar-SA"/>
        </w:rPr>
        <w:t xml:space="preserve"> </w:t>
      </w:r>
    </w:p>
    <w:tbl>
      <w:tblPr>
        <w:tblStyle w:val="TableGrid"/>
        <w:tblW w:w="14596" w:type="dxa"/>
        <w:tblLayout w:type="fixed"/>
        <w:tblLook w:val="04A0" w:firstRow="1" w:lastRow="0" w:firstColumn="1" w:lastColumn="0" w:noHBand="0" w:noVBand="1"/>
      </w:tblPr>
      <w:tblGrid>
        <w:gridCol w:w="1838"/>
        <w:gridCol w:w="1843"/>
        <w:gridCol w:w="3827"/>
        <w:gridCol w:w="1681"/>
        <w:gridCol w:w="2288"/>
        <w:gridCol w:w="3119"/>
      </w:tblGrid>
      <w:tr w:rsidR="0077319A" w14:paraId="65151976" w14:textId="77777777" w:rsidTr="006B08EF">
        <w:trPr>
          <w:trHeight w:val="455"/>
          <w:tblHeader/>
        </w:trPr>
        <w:tc>
          <w:tcPr>
            <w:tcW w:w="1838" w:type="dxa"/>
            <w:vMerge w:val="restart"/>
            <w:tcBorders>
              <w:top w:val="single" w:sz="4" w:space="0" w:color="000000"/>
              <w:left w:val="single" w:sz="4" w:space="0" w:color="000000"/>
              <w:right w:val="single" w:sz="4" w:space="0" w:color="000000"/>
            </w:tcBorders>
            <w:shd w:val="clear" w:color="auto" w:fill="DBE5F1" w:themeFill="accent1" w:themeFillTint="33"/>
            <w:vAlign w:val="center"/>
          </w:tcPr>
          <w:p w14:paraId="47ED2BE1" w14:textId="77777777" w:rsidR="0077319A" w:rsidRPr="00E17394" w:rsidRDefault="0077319A" w:rsidP="00E17394">
            <w:pPr>
              <w:pStyle w:val="FSTableColumnRowheading"/>
              <w:jc w:val="center"/>
            </w:pPr>
          </w:p>
          <w:p w14:paraId="1E1DD1FB" w14:textId="70B933B9" w:rsidR="0077319A" w:rsidRPr="00E17394" w:rsidRDefault="0077319A" w:rsidP="00E17394">
            <w:pPr>
              <w:pStyle w:val="FSTableColumnRowheading"/>
              <w:jc w:val="center"/>
            </w:pPr>
            <w:r w:rsidRPr="00E17394">
              <w:t>Country</w:t>
            </w:r>
          </w:p>
        </w:tc>
        <w:tc>
          <w:tcPr>
            <w:tcW w:w="1843" w:type="dxa"/>
            <w:vMerge w:val="restart"/>
            <w:tcBorders>
              <w:top w:val="single" w:sz="4" w:space="0" w:color="000000"/>
              <w:left w:val="single" w:sz="4" w:space="0" w:color="000000"/>
              <w:right w:val="single" w:sz="4" w:space="0" w:color="000000"/>
            </w:tcBorders>
            <w:shd w:val="clear" w:color="auto" w:fill="DBE5F1" w:themeFill="accent1" w:themeFillTint="33"/>
            <w:vAlign w:val="center"/>
          </w:tcPr>
          <w:p w14:paraId="790D43F3" w14:textId="5663CB6E" w:rsidR="0077319A" w:rsidRPr="00E17394" w:rsidRDefault="0077319A" w:rsidP="00E17394">
            <w:pPr>
              <w:pStyle w:val="FSTableColumnRowheading"/>
              <w:jc w:val="center"/>
            </w:pPr>
            <w:r w:rsidRPr="00E17394">
              <w:t>WHO Code signatory</w:t>
            </w:r>
          </w:p>
        </w:tc>
        <w:tc>
          <w:tcPr>
            <w:tcW w:w="10915" w:type="dxa"/>
            <w:gridSpan w:val="4"/>
            <w:tcBorders>
              <w:top w:val="single" w:sz="4" w:space="0" w:color="000000"/>
              <w:left w:val="single" w:sz="4" w:space="0" w:color="000000"/>
              <w:right w:val="single" w:sz="4" w:space="0" w:color="000000"/>
            </w:tcBorders>
            <w:shd w:val="clear" w:color="auto" w:fill="DBE5F1" w:themeFill="accent1" w:themeFillTint="33"/>
            <w:vAlign w:val="center"/>
          </w:tcPr>
          <w:p w14:paraId="7F326DA3" w14:textId="25AD8213" w:rsidR="0077319A" w:rsidRPr="00E17394" w:rsidRDefault="0077319A" w:rsidP="00E17394">
            <w:pPr>
              <w:pStyle w:val="FSTableColumnRowheading"/>
              <w:jc w:val="center"/>
            </w:pPr>
            <w:r w:rsidRPr="00E17394">
              <w:t>IFP labelling</w:t>
            </w:r>
          </w:p>
        </w:tc>
      </w:tr>
      <w:tr w:rsidR="0077319A" w14:paraId="7647007F" w14:textId="77777777" w:rsidTr="006B08EF">
        <w:trPr>
          <w:trHeight w:val="738"/>
          <w:tblHeader/>
        </w:trPr>
        <w:tc>
          <w:tcPr>
            <w:tcW w:w="1838" w:type="dxa"/>
            <w:vMerge/>
            <w:tcBorders>
              <w:left w:val="single" w:sz="4" w:space="0" w:color="000000"/>
              <w:right w:val="single" w:sz="4" w:space="0" w:color="000000"/>
            </w:tcBorders>
            <w:shd w:val="clear" w:color="auto" w:fill="DBE5F1" w:themeFill="accent1" w:themeFillTint="33"/>
            <w:vAlign w:val="center"/>
          </w:tcPr>
          <w:p w14:paraId="683F97A2" w14:textId="6E4E6E64" w:rsidR="0077319A" w:rsidRPr="00E17394" w:rsidRDefault="0077319A" w:rsidP="00E17394">
            <w:pPr>
              <w:pStyle w:val="FSTableColumnRowheading"/>
              <w:jc w:val="center"/>
            </w:pPr>
          </w:p>
        </w:tc>
        <w:tc>
          <w:tcPr>
            <w:tcW w:w="1843" w:type="dxa"/>
            <w:vMerge/>
            <w:tcBorders>
              <w:left w:val="single" w:sz="4" w:space="0" w:color="000000"/>
              <w:right w:val="single" w:sz="4" w:space="0" w:color="000000"/>
            </w:tcBorders>
            <w:shd w:val="clear" w:color="auto" w:fill="DBE5F1" w:themeFill="accent1" w:themeFillTint="33"/>
            <w:vAlign w:val="center"/>
          </w:tcPr>
          <w:p w14:paraId="05345626" w14:textId="7A35F3DC" w:rsidR="0077319A" w:rsidRPr="00E17394" w:rsidRDefault="0077319A" w:rsidP="00E17394">
            <w:pPr>
              <w:pStyle w:val="FSTableColumnRowheading"/>
              <w:jc w:val="center"/>
            </w:pPr>
          </w:p>
        </w:tc>
        <w:tc>
          <w:tcPr>
            <w:tcW w:w="3827" w:type="dxa"/>
            <w:tcBorders>
              <w:top w:val="single" w:sz="4" w:space="0" w:color="000000"/>
              <w:left w:val="single" w:sz="4" w:space="0" w:color="000000"/>
              <w:right w:val="single" w:sz="4" w:space="0" w:color="000000"/>
            </w:tcBorders>
            <w:shd w:val="clear" w:color="auto" w:fill="DBE5F1" w:themeFill="accent1" w:themeFillTint="33"/>
            <w:vAlign w:val="center"/>
          </w:tcPr>
          <w:p w14:paraId="0F328AF4" w14:textId="77777777" w:rsidR="00C80D06" w:rsidRDefault="0077319A" w:rsidP="00E17394">
            <w:pPr>
              <w:pStyle w:val="FSTableColumnRowheading"/>
              <w:jc w:val="center"/>
            </w:pPr>
            <w:r w:rsidRPr="00E17394">
              <w:t xml:space="preserve">Nutrition and Health claims </w:t>
            </w:r>
            <w:r w:rsidR="00C80D06">
              <w:t xml:space="preserve">generally </w:t>
            </w:r>
            <w:r w:rsidRPr="00E17394">
              <w:t>permitted?</w:t>
            </w:r>
          </w:p>
          <w:p w14:paraId="22EE28EE" w14:textId="12D19466" w:rsidR="0077319A" w:rsidRPr="00E17394" w:rsidRDefault="00332901" w:rsidP="00E17394">
            <w:pPr>
              <w:pStyle w:val="FSTableColumnRowheading"/>
              <w:jc w:val="center"/>
            </w:pPr>
            <w:r>
              <w:t>Specific health claim approved for 2’-FL or LNnT?</w:t>
            </w:r>
          </w:p>
        </w:tc>
        <w:tc>
          <w:tcPr>
            <w:tcW w:w="1681" w:type="dxa"/>
            <w:tcBorders>
              <w:top w:val="single" w:sz="4" w:space="0" w:color="000000"/>
              <w:left w:val="single" w:sz="4" w:space="0" w:color="000000"/>
              <w:right w:val="single" w:sz="4" w:space="0" w:color="000000"/>
            </w:tcBorders>
            <w:shd w:val="clear" w:color="auto" w:fill="DBE5F1" w:themeFill="accent1" w:themeFillTint="33"/>
            <w:vAlign w:val="center"/>
          </w:tcPr>
          <w:p w14:paraId="3AF33894" w14:textId="2839C694" w:rsidR="0077319A" w:rsidRPr="00E17394" w:rsidRDefault="0077319A" w:rsidP="00E17394">
            <w:pPr>
              <w:pStyle w:val="FSTableColumnRowheading"/>
              <w:jc w:val="center"/>
            </w:pPr>
            <w:r w:rsidRPr="00E17394">
              <w:t>Prohibition on terms like ‘humanised’</w:t>
            </w:r>
          </w:p>
        </w:tc>
        <w:tc>
          <w:tcPr>
            <w:tcW w:w="2288" w:type="dxa"/>
            <w:tcBorders>
              <w:top w:val="single" w:sz="4" w:space="0" w:color="000000"/>
              <w:left w:val="single" w:sz="4" w:space="0" w:color="000000"/>
              <w:right w:val="single" w:sz="4" w:space="0" w:color="000000"/>
            </w:tcBorders>
            <w:shd w:val="clear" w:color="auto" w:fill="DBE5F1" w:themeFill="accent1" w:themeFillTint="33"/>
            <w:vAlign w:val="center"/>
          </w:tcPr>
          <w:p w14:paraId="33712C0F" w14:textId="5F6D3B0A" w:rsidR="0077319A" w:rsidRPr="00E17394" w:rsidRDefault="0077319A" w:rsidP="00E17394">
            <w:pPr>
              <w:pStyle w:val="FSTableColumnRowheading"/>
              <w:jc w:val="center"/>
            </w:pPr>
            <w:r w:rsidRPr="00E17394">
              <w:t xml:space="preserve">Prohibition on comparisons to </w:t>
            </w:r>
            <w:r w:rsidR="00A9269B">
              <w:t>breast milk</w:t>
            </w:r>
          </w:p>
        </w:tc>
        <w:tc>
          <w:tcPr>
            <w:tcW w:w="3119" w:type="dxa"/>
            <w:tcBorders>
              <w:top w:val="single" w:sz="4" w:space="0" w:color="000000"/>
              <w:left w:val="single" w:sz="4" w:space="0" w:color="000000"/>
              <w:right w:val="single" w:sz="4" w:space="0" w:color="000000"/>
            </w:tcBorders>
            <w:shd w:val="clear" w:color="auto" w:fill="DBE5F1" w:themeFill="accent1" w:themeFillTint="33"/>
            <w:vAlign w:val="center"/>
          </w:tcPr>
          <w:p w14:paraId="2A61A847" w14:textId="5EF75186" w:rsidR="0077319A" w:rsidRPr="00E17394" w:rsidRDefault="0077319A" w:rsidP="00E17394">
            <w:pPr>
              <w:pStyle w:val="FSTableColumnRowheading"/>
              <w:jc w:val="center"/>
            </w:pPr>
            <w:r w:rsidRPr="00E17394">
              <w:t>Specified name of ingredient?</w:t>
            </w:r>
          </w:p>
        </w:tc>
      </w:tr>
      <w:tr w:rsidR="0077319A" w14:paraId="23B49B1D" w14:textId="77777777" w:rsidTr="006B08EF">
        <w:trPr>
          <w:trHeight w:val="432"/>
        </w:trPr>
        <w:tc>
          <w:tcPr>
            <w:tcW w:w="1838" w:type="dxa"/>
            <w:tcBorders>
              <w:top w:val="single" w:sz="4" w:space="0" w:color="000000"/>
              <w:left w:val="single" w:sz="4" w:space="0" w:color="000000"/>
              <w:right w:val="single" w:sz="4" w:space="0" w:color="000000"/>
            </w:tcBorders>
            <w:vAlign w:val="center"/>
          </w:tcPr>
          <w:p w14:paraId="2E1CE974" w14:textId="55B30162" w:rsidR="0077319A" w:rsidRPr="00E17394" w:rsidRDefault="0077319A" w:rsidP="00E17394">
            <w:pPr>
              <w:jc w:val="center"/>
              <w:rPr>
                <w:rFonts w:asciiTheme="minorHAnsi" w:hAnsiTheme="minorHAnsi" w:cstheme="minorHAnsi"/>
                <w:sz w:val="20"/>
                <w:szCs w:val="18"/>
                <w:lang w:eastAsia="en-GB"/>
              </w:rPr>
            </w:pPr>
            <w:r w:rsidRPr="00E17394">
              <w:rPr>
                <w:rFonts w:asciiTheme="minorHAnsi" w:hAnsiTheme="minorHAnsi" w:cstheme="minorHAnsi"/>
                <w:sz w:val="20"/>
                <w:szCs w:val="18"/>
                <w:lang w:eastAsia="en-GB"/>
              </w:rPr>
              <w:t>AU &amp; NZ</w:t>
            </w:r>
          </w:p>
        </w:tc>
        <w:tc>
          <w:tcPr>
            <w:tcW w:w="1843" w:type="dxa"/>
            <w:tcBorders>
              <w:top w:val="single" w:sz="4" w:space="0" w:color="000000"/>
              <w:left w:val="single" w:sz="4" w:space="0" w:color="000000"/>
              <w:right w:val="single" w:sz="4" w:space="0" w:color="000000"/>
            </w:tcBorders>
            <w:vAlign w:val="center"/>
          </w:tcPr>
          <w:p w14:paraId="2634E135" w14:textId="6D30A0CC" w:rsidR="0077319A" w:rsidRPr="00E17394" w:rsidRDefault="0077319A" w:rsidP="00E17394">
            <w:pPr>
              <w:jc w:val="center"/>
              <w:rPr>
                <w:rFonts w:asciiTheme="minorHAnsi" w:hAnsiTheme="minorHAnsi" w:cstheme="minorHAnsi"/>
                <w:sz w:val="24"/>
                <w:szCs w:val="18"/>
                <w:lang w:eastAsia="en-GB"/>
              </w:rPr>
            </w:pPr>
            <w:r w:rsidRPr="00E17394">
              <w:rPr>
                <w:rFonts w:asciiTheme="minorHAnsi" w:hAnsiTheme="minorHAnsi" w:cstheme="minorHAnsi"/>
                <w:sz w:val="24"/>
                <w:szCs w:val="18"/>
              </w:rPr>
              <w:sym w:font="Wingdings" w:char="F0FC"/>
            </w:r>
          </w:p>
        </w:tc>
        <w:tc>
          <w:tcPr>
            <w:tcW w:w="3827" w:type="dxa"/>
            <w:tcBorders>
              <w:top w:val="single" w:sz="4" w:space="0" w:color="000000"/>
              <w:left w:val="single" w:sz="4" w:space="0" w:color="000000"/>
              <w:right w:val="single" w:sz="4" w:space="0" w:color="000000"/>
            </w:tcBorders>
            <w:vAlign w:val="center"/>
          </w:tcPr>
          <w:p w14:paraId="08A88991" w14:textId="77777777" w:rsidR="0077319A" w:rsidRDefault="00B60E5A" w:rsidP="00E17394">
            <w:pPr>
              <w:ind w:left="-420" w:firstLine="526"/>
              <w:jc w:val="center"/>
              <w:rPr>
                <w:rFonts w:asciiTheme="minorHAnsi" w:hAnsiTheme="minorHAnsi" w:cstheme="minorHAnsi"/>
                <w:sz w:val="28"/>
                <w:szCs w:val="18"/>
              </w:rPr>
            </w:pPr>
            <w:r w:rsidRPr="00B60E5A">
              <w:rPr>
                <w:rFonts w:asciiTheme="minorHAnsi" w:hAnsiTheme="minorHAnsi" w:cstheme="minorHAnsi"/>
                <w:sz w:val="28"/>
                <w:szCs w:val="18"/>
              </w:rPr>
              <w:sym w:font="Wingdings" w:char="F0FB"/>
            </w:r>
          </w:p>
          <w:p w14:paraId="3D957879" w14:textId="77777777" w:rsidR="00332901" w:rsidRDefault="00332901" w:rsidP="00332901">
            <w:pPr>
              <w:ind w:firstLine="30"/>
              <w:jc w:val="center"/>
              <w:rPr>
                <w:rFonts w:asciiTheme="minorHAnsi" w:hAnsiTheme="minorHAnsi" w:cstheme="minorHAnsi"/>
                <w:sz w:val="20"/>
                <w:szCs w:val="18"/>
              </w:rPr>
            </w:pPr>
          </w:p>
          <w:p w14:paraId="55B06E77" w14:textId="2A3B82F1" w:rsidR="00332901" w:rsidRPr="00E17394" w:rsidRDefault="00332901" w:rsidP="00332901">
            <w:pPr>
              <w:ind w:left="-420" w:firstLine="526"/>
              <w:jc w:val="center"/>
              <w:rPr>
                <w:rFonts w:asciiTheme="minorHAnsi" w:hAnsiTheme="minorHAnsi" w:cstheme="minorHAnsi"/>
                <w:sz w:val="24"/>
                <w:szCs w:val="18"/>
                <w:lang w:eastAsia="en-GB"/>
              </w:rPr>
            </w:pPr>
            <w:r>
              <w:rPr>
                <w:rFonts w:asciiTheme="minorHAnsi" w:hAnsiTheme="minorHAnsi" w:cstheme="minorHAnsi"/>
                <w:sz w:val="20"/>
                <w:szCs w:val="18"/>
              </w:rPr>
              <w:sym w:font="Wingdings" w:char="F0FB"/>
            </w:r>
            <w:r>
              <w:rPr>
                <w:rFonts w:asciiTheme="minorHAnsi" w:hAnsiTheme="minorHAnsi" w:cstheme="minorHAnsi"/>
                <w:sz w:val="20"/>
                <w:szCs w:val="18"/>
              </w:rPr>
              <w:t xml:space="preserve"> No specific health claim approved</w:t>
            </w:r>
          </w:p>
        </w:tc>
        <w:tc>
          <w:tcPr>
            <w:tcW w:w="1681" w:type="dxa"/>
            <w:tcBorders>
              <w:top w:val="single" w:sz="4" w:space="0" w:color="000000"/>
              <w:left w:val="single" w:sz="4" w:space="0" w:color="000000"/>
              <w:right w:val="single" w:sz="4" w:space="0" w:color="000000"/>
            </w:tcBorders>
            <w:vAlign w:val="center"/>
          </w:tcPr>
          <w:p w14:paraId="6C8ABE9E" w14:textId="011AE82D" w:rsidR="0077319A" w:rsidRPr="00E17394" w:rsidRDefault="0077319A" w:rsidP="00E17394">
            <w:pPr>
              <w:ind w:left="-420" w:firstLine="526"/>
              <w:jc w:val="center"/>
              <w:rPr>
                <w:rFonts w:asciiTheme="minorHAnsi" w:hAnsiTheme="minorHAnsi" w:cstheme="minorHAnsi"/>
                <w:sz w:val="24"/>
                <w:szCs w:val="18"/>
                <w:lang w:eastAsia="en-GB"/>
              </w:rPr>
            </w:pPr>
            <w:r w:rsidRPr="00E17394">
              <w:rPr>
                <w:rFonts w:asciiTheme="minorHAnsi" w:hAnsiTheme="minorHAnsi" w:cstheme="minorHAnsi"/>
                <w:sz w:val="24"/>
                <w:szCs w:val="18"/>
              </w:rPr>
              <w:sym w:font="Wingdings" w:char="F0FC"/>
            </w:r>
          </w:p>
        </w:tc>
        <w:tc>
          <w:tcPr>
            <w:tcW w:w="2288" w:type="dxa"/>
            <w:tcBorders>
              <w:top w:val="single" w:sz="4" w:space="0" w:color="000000"/>
              <w:left w:val="single" w:sz="4" w:space="0" w:color="000000"/>
              <w:right w:val="single" w:sz="4" w:space="0" w:color="000000"/>
            </w:tcBorders>
            <w:vAlign w:val="center"/>
          </w:tcPr>
          <w:p w14:paraId="21BFA91D" w14:textId="67C6AFAD" w:rsidR="0077319A" w:rsidRPr="00E17394" w:rsidRDefault="0077319A" w:rsidP="00E17394">
            <w:pPr>
              <w:ind w:left="-420" w:firstLine="526"/>
              <w:jc w:val="center"/>
              <w:rPr>
                <w:rFonts w:asciiTheme="minorHAnsi" w:hAnsiTheme="minorHAnsi" w:cstheme="minorHAnsi"/>
                <w:sz w:val="24"/>
                <w:szCs w:val="18"/>
                <w:lang w:eastAsia="en-GB"/>
              </w:rPr>
            </w:pPr>
            <w:r w:rsidRPr="00E17394">
              <w:rPr>
                <w:rFonts w:asciiTheme="minorHAnsi" w:hAnsiTheme="minorHAnsi" w:cstheme="minorHAnsi"/>
                <w:sz w:val="24"/>
                <w:szCs w:val="18"/>
              </w:rPr>
              <w:sym w:font="Wingdings" w:char="F0FC"/>
            </w:r>
          </w:p>
        </w:tc>
        <w:tc>
          <w:tcPr>
            <w:tcW w:w="3119" w:type="dxa"/>
            <w:tcBorders>
              <w:top w:val="single" w:sz="4" w:space="0" w:color="000000"/>
              <w:left w:val="single" w:sz="4" w:space="0" w:color="000000"/>
              <w:right w:val="single" w:sz="4" w:space="0" w:color="000000"/>
            </w:tcBorders>
            <w:vAlign w:val="center"/>
          </w:tcPr>
          <w:p w14:paraId="307D27F3" w14:textId="3442DDC1" w:rsidR="0077319A" w:rsidRPr="00E17394" w:rsidRDefault="00C81E4C" w:rsidP="00E17394">
            <w:pPr>
              <w:ind w:left="-420" w:firstLine="526"/>
              <w:jc w:val="center"/>
              <w:rPr>
                <w:rFonts w:asciiTheme="minorHAnsi" w:hAnsiTheme="minorHAnsi" w:cstheme="minorHAnsi"/>
                <w:sz w:val="24"/>
                <w:szCs w:val="18"/>
                <w:lang w:eastAsia="en-GB"/>
              </w:rPr>
            </w:pPr>
            <w:r w:rsidRPr="00E17394">
              <w:rPr>
                <w:rFonts w:asciiTheme="minorHAnsi" w:hAnsiTheme="minorHAnsi" w:cstheme="minorHAnsi"/>
                <w:sz w:val="24"/>
                <w:szCs w:val="18"/>
              </w:rPr>
              <w:sym w:font="Wingdings" w:char="F0FC"/>
            </w:r>
          </w:p>
        </w:tc>
      </w:tr>
      <w:tr w:rsidR="0077319A" w14:paraId="78D1A88B" w14:textId="77777777" w:rsidTr="006B08EF">
        <w:tc>
          <w:tcPr>
            <w:tcW w:w="1838" w:type="dxa"/>
            <w:tcBorders>
              <w:top w:val="single" w:sz="4" w:space="0" w:color="000000"/>
              <w:left w:val="single" w:sz="4" w:space="0" w:color="000000"/>
              <w:right w:val="single" w:sz="4" w:space="0" w:color="000000"/>
            </w:tcBorders>
            <w:vAlign w:val="center"/>
            <w:hideMark/>
          </w:tcPr>
          <w:p w14:paraId="00DF600C" w14:textId="35123F74" w:rsidR="0077319A" w:rsidRPr="00E17394" w:rsidRDefault="0077319A" w:rsidP="00E17394">
            <w:pPr>
              <w:jc w:val="center"/>
              <w:rPr>
                <w:rFonts w:asciiTheme="minorHAnsi" w:hAnsiTheme="minorHAnsi" w:cstheme="minorHAnsi"/>
                <w:sz w:val="20"/>
                <w:szCs w:val="18"/>
                <w:lang w:eastAsia="en-GB"/>
              </w:rPr>
            </w:pPr>
            <w:r w:rsidRPr="00E17394">
              <w:rPr>
                <w:rFonts w:asciiTheme="minorHAnsi" w:hAnsiTheme="minorHAnsi" w:cstheme="minorHAnsi"/>
                <w:sz w:val="20"/>
                <w:szCs w:val="18"/>
                <w:lang w:eastAsia="en-GB"/>
              </w:rPr>
              <w:t>United States</w:t>
            </w:r>
          </w:p>
        </w:tc>
        <w:tc>
          <w:tcPr>
            <w:tcW w:w="1843" w:type="dxa"/>
            <w:tcBorders>
              <w:top w:val="single" w:sz="4" w:space="0" w:color="000000"/>
              <w:left w:val="single" w:sz="4" w:space="0" w:color="000000"/>
              <w:right w:val="single" w:sz="4" w:space="0" w:color="000000"/>
            </w:tcBorders>
            <w:vAlign w:val="center"/>
          </w:tcPr>
          <w:p w14:paraId="056E1D75" w14:textId="52F0B7B6" w:rsidR="0077319A" w:rsidRPr="00E17394" w:rsidRDefault="00E17394" w:rsidP="00E17394">
            <w:pPr>
              <w:jc w:val="center"/>
              <w:rPr>
                <w:rFonts w:asciiTheme="minorHAnsi" w:hAnsiTheme="minorHAnsi" w:cstheme="minorHAnsi"/>
                <w:sz w:val="24"/>
                <w:szCs w:val="18"/>
                <w:lang w:eastAsia="en-GB"/>
              </w:rPr>
            </w:pPr>
            <w:r>
              <w:rPr>
                <w:rFonts w:asciiTheme="minorHAnsi" w:hAnsiTheme="minorHAnsi" w:cstheme="minorHAnsi"/>
                <w:sz w:val="24"/>
                <w:szCs w:val="18"/>
              </w:rPr>
              <w:sym w:font="Wingdings" w:char="F0FB"/>
            </w:r>
          </w:p>
        </w:tc>
        <w:tc>
          <w:tcPr>
            <w:tcW w:w="3827" w:type="dxa"/>
            <w:tcBorders>
              <w:top w:val="single" w:sz="4" w:space="0" w:color="000000"/>
              <w:left w:val="single" w:sz="4" w:space="0" w:color="000000"/>
              <w:right w:val="single" w:sz="4" w:space="0" w:color="000000"/>
            </w:tcBorders>
            <w:vAlign w:val="center"/>
          </w:tcPr>
          <w:p w14:paraId="2C08619C" w14:textId="77777777" w:rsidR="0077319A" w:rsidRPr="00E17394" w:rsidRDefault="0077319A" w:rsidP="00E17394">
            <w:pPr>
              <w:ind w:left="-420" w:firstLine="526"/>
              <w:jc w:val="center"/>
              <w:rPr>
                <w:rFonts w:asciiTheme="minorHAnsi" w:hAnsiTheme="minorHAnsi" w:cstheme="minorHAnsi"/>
                <w:sz w:val="20"/>
                <w:szCs w:val="18"/>
                <w:lang w:eastAsia="en-GB"/>
              </w:rPr>
            </w:pPr>
            <w:r w:rsidRPr="00E17394">
              <w:rPr>
                <w:rFonts w:asciiTheme="minorHAnsi" w:hAnsiTheme="minorHAnsi" w:cstheme="minorHAnsi"/>
                <w:sz w:val="20"/>
                <w:szCs w:val="18"/>
                <w:lang w:eastAsia="en-GB"/>
              </w:rPr>
              <w:sym w:font="Wingdings" w:char="F0FC"/>
            </w:r>
          </w:p>
          <w:p w14:paraId="7204A570" w14:textId="4D0F258D" w:rsidR="0077319A" w:rsidRPr="00E17394" w:rsidRDefault="0077319A" w:rsidP="00E17394">
            <w:pPr>
              <w:jc w:val="center"/>
              <w:rPr>
                <w:rFonts w:asciiTheme="minorHAnsi" w:hAnsiTheme="minorHAnsi" w:cstheme="minorHAnsi"/>
                <w:sz w:val="20"/>
                <w:szCs w:val="18"/>
                <w:lang w:eastAsia="en-GB"/>
              </w:rPr>
            </w:pPr>
            <w:r w:rsidRPr="00E17394">
              <w:rPr>
                <w:rFonts w:asciiTheme="minorHAnsi" w:hAnsiTheme="minorHAnsi" w:cstheme="minorHAnsi"/>
                <w:sz w:val="20"/>
                <w:szCs w:val="18"/>
                <w:lang w:eastAsia="en-GB"/>
              </w:rPr>
              <w:t>Nutrient claims in specified conditions</w:t>
            </w:r>
          </w:p>
          <w:p w14:paraId="43EC18F9" w14:textId="77777777" w:rsidR="0077319A" w:rsidRPr="00E17394" w:rsidRDefault="0077319A" w:rsidP="00E17394">
            <w:pPr>
              <w:jc w:val="center"/>
              <w:rPr>
                <w:rFonts w:asciiTheme="minorHAnsi" w:hAnsiTheme="minorHAnsi" w:cstheme="minorHAnsi"/>
                <w:sz w:val="20"/>
                <w:szCs w:val="18"/>
                <w:lang w:eastAsia="en-GB"/>
              </w:rPr>
            </w:pPr>
          </w:p>
          <w:p w14:paraId="7C8057DB" w14:textId="77777777" w:rsidR="0077319A" w:rsidRDefault="0077319A" w:rsidP="006B08EF">
            <w:pPr>
              <w:jc w:val="center"/>
              <w:rPr>
                <w:rFonts w:asciiTheme="minorHAnsi" w:hAnsiTheme="minorHAnsi" w:cstheme="minorHAnsi"/>
                <w:sz w:val="20"/>
                <w:szCs w:val="18"/>
                <w:lang w:eastAsia="en-GB"/>
              </w:rPr>
            </w:pPr>
            <w:r w:rsidRPr="00E17394">
              <w:rPr>
                <w:rFonts w:asciiTheme="minorHAnsi" w:hAnsiTheme="minorHAnsi" w:cstheme="minorHAnsi"/>
                <w:sz w:val="20"/>
                <w:szCs w:val="18"/>
                <w:lang w:eastAsia="en-GB"/>
              </w:rPr>
              <w:t>Structure function claims permitted</w:t>
            </w:r>
          </w:p>
          <w:p w14:paraId="4B4169A2" w14:textId="77777777" w:rsidR="00332901" w:rsidRDefault="00332901" w:rsidP="006B08EF">
            <w:pPr>
              <w:jc w:val="center"/>
              <w:rPr>
                <w:rFonts w:asciiTheme="minorHAnsi" w:hAnsiTheme="minorHAnsi" w:cstheme="minorHAnsi"/>
                <w:sz w:val="20"/>
                <w:szCs w:val="18"/>
                <w:lang w:eastAsia="en-GB"/>
              </w:rPr>
            </w:pPr>
          </w:p>
          <w:p w14:paraId="16B8E6BF" w14:textId="7462E6FA" w:rsidR="00332901" w:rsidRPr="00E17394" w:rsidRDefault="00332901" w:rsidP="00332901">
            <w:pPr>
              <w:ind w:firstLine="30"/>
              <w:jc w:val="center"/>
              <w:rPr>
                <w:rFonts w:asciiTheme="minorHAnsi" w:hAnsiTheme="minorHAnsi" w:cstheme="minorHAnsi"/>
                <w:sz w:val="20"/>
                <w:szCs w:val="18"/>
                <w:lang w:eastAsia="en-GB"/>
              </w:rPr>
            </w:pPr>
            <w:r>
              <w:rPr>
                <w:rFonts w:asciiTheme="minorHAnsi" w:hAnsiTheme="minorHAnsi" w:cstheme="minorHAnsi"/>
                <w:sz w:val="20"/>
                <w:szCs w:val="18"/>
              </w:rPr>
              <w:sym w:font="Wingdings" w:char="F0FB"/>
            </w:r>
            <w:r>
              <w:rPr>
                <w:rFonts w:asciiTheme="minorHAnsi" w:hAnsiTheme="minorHAnsi" w:cstheme="minorHAnsi"/>
                <w:sz w:val="20"/>
                <w:szCs w:val="18"/>
              </w:rPr>
              <w:t xml:space="preserve"> No specific health claim approved</w:t>
            </w:r>
          </w:p>
        </w:tc>
        <w:tc>
          <w:tcPr>
            <w:tcW w:w="1681" w:type="dxa"/>
            <w:tcBorders>
              <w:top w:val="single" w:sz="4" w:space="0" w:color="000000"/>
              <w:left w:val="single" w:sz="4" w:space="0" w:color="000000"/>
              <w:right w:val="single" w:sz="4" w:space="0" w:color="000000"/>
            </w:tcBorders>
            <w:vAlign w:val="center"/>
          </w:tcPr>
          <w:p w14:paraId="53FC1399" w14:textId="7F1E0457" w:rsidR="0077319A" w:rsidRPr="00E17394" w:rsidRDefault="00B60E5A" w:rsidP="00E17394">
            <w:pPr>
              <w:ind w:left="-420" w:firstLine="526"/>
              <w:jc w:val="center"/>
              <w:rPr>
                <w:rFonts w:asciiTheme="minorHAnsi" w:hAnsiTheme="minorHAnsi" w:cstheme="minorHAnsi"/>
                <w:sz w:val="24"/>
                <w:szCs w:val="18"/>
              </w:rPr>
            </w:pPr>
            <w:r w:rsidRPr="00B60E5A">
              <w:rPr>
                <w:rFonts w:asciiTheme="minorHAnsi" w:hAnsiTheme="minorHAnsi" w:cstheme="minorHAnsi"/>
                <w:sz w:val="28"/>
                <w:szCs w:val="18"/>
              </w:rPr>
              <w:sym w:font="Wingdings" w:char="F0FB"/>
            </w:r>
          </w:p>
        </w:tc>
        <w:tc>
          <w:tcPr>
            <w:tcW w:w="2288" w:type="dxa"/>
            <w:tcBorders>
              <w:top w:val="single" w:sz="4" w:space="0" w:color="000000"/>
              <w:left w:val="single" w:sz="4" w:space="0" w:color="000000"/>
              <w:right w:val="single" w:sz="4" w:space="0" w:color="000000"/>
            </w:tcBorders>
            <w:vAlign w:val="center"/>
          </w:tcPr>
          <w:p w14:paraId="4A0B933F" w14:textId="63EE73EC" w:rsidR="0077319A" w:rsidRPr="00E17394" w:rsidRDefault="00B60E5A" w:rsidP="00E17394">
            <w:pPr>
              <w:ind w:left="-420" w:firstLine="526"/>
              <w:jc w:val="center"/>
              <w:rPr>
                <w:rFonts w:asciiTheme="minorHAnsi" w:hAnsiTheme="minorHAnsi" w:cstheme="minorHAnsi"/>
                <w:sz w:val="24"/>
                <w:szCs w:val="18"/>
              </w:rPr>
            </w:pPr>
            <w:r w:rsidRPr="00B60E5A">
              <w:rPr>
                <w:rFonts w:asciiTheme="minorHAnsi" w:hAnsiTheme="minorHAnsi" w:cstheme="minorHAnsi"/>
                <w:sz w:val="28"/>
                <w:szCs w:val="18"/>
              </w:rPr>
              <w:sym w:font="Wingdings" w:char="F0FB"/>
            </w:r>
          </w:p>
        </w:tc>
        <w:tc>
          <w:tcPr>
            <w:tcW w:w="3119" w:type="dxa"/>
            <w:tcBorders>
              <w:top w:val="single" w:sz="4" w:space="0" w:color="000000"/>
              <w:left w:val="single" w:sz="4" w:space="0" w:color="000000"/>
              <w:right w:val="single" w:sz="4" w:space="0" w:color="000000"/>
            </w:tcBorders>
            <w:vAlign w:val="center"/>
          </w:tcPr>
          <w:p w14:paraId="1822EDD3" w14:textId="033E0C5B" w:rsidR="0077319A" w:rsidRPr="00E17394" w:rsidRDefault="00B60E5A" w:rsidP="00E17394">
            <w:pPr>
              <w:ind w:left="-420" w:firstLine="526"/>
              <w:jc w:val="center"/>
              <w:rPr>
                <w:rFonts w:asciiTheme="minorHAnsi" w:hAnsiTheme="minorHAnsi" w:cstheme="minorHAnsi"/>
                <w:sz w:val="24"/>
                <w:szCs w:val="18"/>
              </w:rPr>
            </w:pPr>
            <w:r w:rsidRPr="00B60E5A">
              <w:rPr>
                <w:rFonts w:asciiTheme="minorHAnsi" w:hAnsiTheme="minorHAnsi" w:cstheme="minorHAnsi"/>
                <w:sz w:val="28"/>
                <w:szCs w:val="18"/>
              </w:rPr>
              <w:sym w:font="Wingdings" w:char="F0FB"/>
            </w:r>
          </w:p>
        </w:tc>
      </w:tr>
      <w:tr w:rsidR="0077319A" w14:paraId="1FDC777D" w14:textId="77777777" w:rsidTr="006B08EF">
        <w:tc>
          <w:tcPr>
            <w:tcW w:w="1838" w:type="dxa"/>
            <w:tcBorders>
              <w:top w:val="single" w:sz="4" w:space="0" w:color="000000"/>
              <w:left w:val="single" w:sz="4" w:space="0" w:color="000000"/>
              <w:right w:val="single" w:sz="4" w:space="0" w:color="000000"/>
            </w:tcBorders>
            <w:vAlign w:val="center"/>
          </w:tcPr>
          <w:p w14:paraId="3683C30E" w14:textId="46B41AE8" w:rsidR="0077319A" w:rsidRPr="00E17394" w:rsidRDefault="0077319A" w:rsidP="00E17394">
            <w:pPr>
              <w:jc w:val="center"/>
              <w:rPr>
                <w:rFonts w:asciiTheme="minorHAnsi" w:hAnsiTheme="minorHAnsi" w:cstheme="minorHAnsi"/>
                <w:sz w:val="20"/>
                <w:szCs w:val="18"/>
                <w:lang w:eastAsia="en-GB"/>
              </w:rPr>
            </w:pPr>
            <w:r w:rsidRPr="00E17394">
              <w:rPr>
                <w:rFonts w:asciiTheme="minorHAnsi" w:hAnsiTheme="minorHAnsi" w:cstheme="minorHAnsi"/>
                <w:sz w:val="20"/>
                <w:szCs w:val="18"/>
                <w:lang w:eastAsia="en-GB"/>
              </w:rPr>
              <w:t>Canada</w:t>
            </w:r>
          </w:p>
        </w:tc>
        <w:tc>
          <w:tcPr>
            <w:tcW w:w="1843" w:type="dxa"/>
            <w:tcBorders>
              <w:top w:val="single" w:sz="4" w:space="0" w:color="000000"/>
              <w:left w:val="single" w:sz="4" w:space="0" w:color="000000"/>
              <w:right w:val="single" w:sz="4" w:space="0" w:color="000000"/>
            </w:tcBorders>
            <w:vAlign w:val="center"/>
          </w:tcPr>
          <w:p w14:paraId="71E71A2D" w14:textId="7C7E0BB8" w:rsidR="0077319A" w:rsidRPr="00E17394" w:rsidRDefault="0077319A" w:rsidP="00E17394">
            <w:pPr>
              <w:jc w:val="center"/>
              <w:rPr>
                <w:rFonts w:asciiTheme="minorHAnsi" w:hAnsiTheme="minorHAnsi" w:cstheme="minorHAnsi"/>
                <w:sz w:val="24"/>
                <w:szCs w:val="18"/>
              </w:rPr>
            </w:pPr>
            <w:r w:rsidRPr="00E17394">
              <w:rPr>
                <w:rFonts w:asciiTheme="minorHAnsi" w:hAnsiTheme="minorHAnsi" w:cstheme="minorHAnsi"/>
                <w:sz w:val="24"/>
                <w:szCs w:val="18"/>
              </w:rPr>
              <w:sym w:font="Wingdings" w:char="F0FC"/>
            </w:r>
          </w:p>
        </w:tc>
        <w:tc>
          <w:tcPr>
            <w:tcW w:w="3827" w:type="dxa"/>
            <w:tcBorders>
              <w:top w:val="single" w:sz="4" w:space="0" w:color="000000"/>
              <w:left w:val="single" w:sz="4" w:space="0" w:color="000000"/>
              <w:right w:val="single" w:sz="4" w:space="0" w:color="000000"/>
            </w:tcBorders>
            <w:vAlign w:val="center"/>
          </w:tcPr>
          <w:p w14:paraId="68C4A958" w14:textId="5C20D5BF" w:rsidR="0077319A" w:rsidRPr="00E17394" w:rsidRDefault="0077319A" w:rsidP="00E17394">
            <w:pPr>
              <w:ind w:firstLine="30"/>
              <w:jc w:val="center"/>
              <w:rPr>
                <w:rFonts w:asciiTheme="minorHAnsi" w:hAnsiTheme="minorHAnsi" w:cstheme="minorHAnsi"/>
                <w:sz w:val="20"/>
                <w:szCs w:val="18"/>
              </w:rPr>
            </w:pPr>
            <w:r w:rsidRPr="00E17394">
              <w:rPr>
                <w:rFonts w:asciiTheme="minorHAnsi" w:hAnsiTheme="minorHAnsi" w:cstheme="minorHAnsi"/>
                <w:sz w:val="20"/>
                <w:szCs w:val="18"/>
              </w:rPr>
              <w:sym w:font="Wingdings" w:char="F0FC"/>
            </w:r>
          </w:p>
          <w:p w14:paraId="529B835F" w14:textId="77777777" w:rsidR="0077319A" w:rsidRPr="00E17394" w:rsidRDefault="0077319A" w:rsidP="00E17394">
            <w:pPr>
              <w:ind w:firstLine="30"/>
              <w:jc w:val="center"/>
              <w:rPr>
                <w:rFonts w:asciiTheme="minorHAnsi" w:hAnsiTheme="minorHAnsi" w:cstheme="minorHAnsi"/>
                <w:sz w:val="20"/>
                <w:szCs w:val="18"/>
              </w:rPr>
            </w:pPr>
            <w:r w:rsidRPr="00E17394">
              <w:rPr>
                <w:rFonts w:asciiTheme="minorHAnsi" w:hAnsiTheme="minorHAnsi" w:cstheme="minorHAnsi"/>
                <w:sz w:val="20"/>
                <w:szCs w:val="18"/>
              </w:rPr>
              <w:t>Limited number of nutrient content claims, to highlight differences in formulas not to suggest superiority</w:t>
            </w:r>
          </w:p>
          <w:p w14:paraId="549F83A2" w14:textId="77777777" w:rsidR="0077319A" w:rsidRPr="00E17394" w:rsidRDefault="0077319A" w:rsidP="00E17394">
            <w:pPr>
              <w:ind w:firstLine="30"/>
              <w:jc w:val="center"/>
              <w:rPr>
                <w:rFonts w:asciiTheme="minorHAnsi" w:hAnsiTheme="minorHAnsi" w:cstheme="minorHAnsi"/>
                <w:sz w:val="20"/>
                <w:szCs w:val="18"/>
              </w:rPr>
            </w:pPr>
          </w:p>
          <w:p w14:paraId="2640E4EC" w14:textId="77777777" w:rsidR="0077319A" w:rsidRDefault="0077319A" w:rsidP="00E17394">
            <w:pPr>
              <w:ind w:firstLine="30"/>
              <w:jc w:val="center"/>
              <w:rPr>
                <w:rFonts w:asciiTheme="minorHAnsi" w:hAnsiTheme="minorHAnsi" w:cstheme="minorHAnsi"/>
                <w:sz w:val="20"/>
                <w:szCs w:val="18"/>
              </w:rPr>
            </w:pPr>
            <w:r w:rsidRPr="00E17394">
              <w:rPr>
                <w:rFonts w:asciiTheme="minorHAnsi" w:hAnsiTheme="minorHAnsi" w:cstheme="minorHAnsi"/>
                <w:sz w:val="20"/>
                <w:szCs w:val="18"/>
              </w:rPr>
              <w:t>It is inappropriate and misleading to use nutrient content claims to suggest that one infant formula is superior to another based on its nutrient content</w:t>
            </w:r>
          </w:p>
          <w:p w14:paraId="4E4E3267" w14:textId="77777777" w:rsidR="00C80D06" w:rsidRDefault="00C80D06" w:rsidP="00E17394">
            <w:pPr>
              <w:ind w:firstLine="30"/>
              <w:jc w:val="center"/>
              <w:rPr>
                <w:rFonts w:asciiTheme="minorHAnsi" w:hAnsiTheme="minorHAnsi" w:cstheme="minorHAnsi"/>
                <w:sz w:val="20"/>
                <w:szCs w:val="18"/>
              </w:rPr>
            </w:pPr>
          </w:p>
          <w:p w14:paraId="4368C320" w14:textId="4D6438F8" w:rsidR="00C80D06" w:rsidRPr="00E17394" w:rsidRDefault="00332901" w:rsidP="00E17394">
            <w:pPr>
              <w:ind w:firstLine="30"/>
              <w:jc w:val="center"/>
              <w:rPr>
                <w:rFonts w:asciiTheme="minorHAnsi" w:hAnsiTheme="minorHAnsi" w:cstheme="minorHAnsi"/>
                <w:sz w:val="20"/>
                <w:szCs w:val="18"/>
              </w:rPr>
            </w:pPr>
            <w:r>
              <w:rPr>
                <w:rFonts w:asciiTheme="minorHAnsi" w:hAnsiTheme="minorHAnsi" w:cstheme="minorHAnsi"/>
                <w:sz w:val="20"/>
                <w:szCs w:val="18"/>
              </w:rPr>
              <w:sym w:font="Wingdings" w:char="F0FB"/>
            </w:r>
            <w:r>
              <w:rPr>
                <w:rFonts w:asciiTheme="minorHAnsi" w:hAnsiTheme="minorHAnsi" w:cstheme="minorHAnsi"/>
                <w:sz w:val="20"/>
                <w:szCs w:val="18"/>
              </w:rPr>
              <w:t xml:space="preserve"> </w:t>
            </w:r>
            <w:r w:rsidR="00C80D06">
              <w:rPr>
                <w:rFonts w:asciiTheme="minorHAnsi" w:hAnsiTheme="minorHAnsi" w:cstheme="minorHAnsi"/>
                <w:sz w:val="20"/>
                <w:szCs w:val="18"/>
              </w:rPr>
              <w:t xml:space="preserve">No specific health claim approved </w:t>
            </w:r>
          </w:p>
        </w:tc>
        <w:tc>
          <w:tcPr>
            <w:tcW w:w="1681" w:type="dxa"/>
            <w:tcBorders>
              <w:top w:val="single" w:sz="4" w:space="0" w:color="000000"/>
              <w:left w:val="single" w:sz="4" w:space="0" w:color="000000"/>
              <w:right w:val="single" w:sz="4" w:space="0" w:color="000000"/>
            </w:tcBorders>
            <w:vAlign w:val="center"/>
          </w:tcPr>
          <w:p w14:paraId="36F88494" w14:textId="6E97356A" w:rsidR="0077319A" w:rsidRPr="00E17394" w:rsidRDefault="00B60E5A" w:rsidP="00E17394">
            <w:pPr>
              <w:jc w:val="center"/>
              <w:rPr>
                <w:rFonts w:asciiTheme="minorHAnsi" w:hAnsiTheme="minorHAnsi" w:cstheme="minorHAnsi"/>
                <w:sz w:val="20"/>
                <w:szCs w:val="18"/>
              </w:rPr>
            </w:pPr>
            <w:r w:rsidRPr="00B60E5A">
              <w:rPr>
                <w:rFonts w:asciiTheme="minorHAnsi" w:hAnsiTheme="minorHAnsi" w:cstheme="minorHAnsi"/>
                <w:sz w:val="28"/>
                <w:szCs w:val="18"/>
              </w:rPr>
              <w:sym w:font="Wingdings" w:char="F0FB"/>
            </w:r>
          </w:p>
        </w:tc>
        <w:tc>
          <w:tcPr>
            <w:tcW w:w="2288" w:type="dxa"/>
            <w:tcBorders>
              <w:top w:val="single" w:sz="4" w:space="0" w:color="000000"/>
              <w:left w:val="single" w:sz="4" w:space="0" w:color="000000"/>
              <w:right w:val="single" w:sz="4" w:space="0" w:color="000000"/>
            </w:tcBorders>
            <w:vAlign w:val="center"/>
          </w:tcPr>
          <w:p w14:paraId="079D9D01" w14:textId="77777777" w:rsidR="00B60E5A" w:rsidRDefault="00B60E5A" w:rsidP="00E17394">
            <w:pPr>
              <w:jc w:val="center"/>
              <w:rPr>
                <w:rFonts w:asciiTheme="minorHAnsi" w:hAnsiTheme="minorHAnsi" w:cstheme="minorHAnsi"/>
                <w:sz w:val="24"/>
                <w:szCs w:val="18"/>
              </w:rPr>
            </w:pPr>
            <w:r w:rsidRPr="00E17394">
              <w:rPr>
                <w:rFonts w:asciiTheme="minorHAnsi" w:hAnsiTheme="minorHAnsi" w:cstheme="minorHAnsi"/>
                <w:sz w:val="24"/>
                <w:szCs w:val="18"/>
              </w:rPr>
              <w:sym w:font="Wingdings" w:char="F0FC"/>
            </w:r>
          </w:p>
          <w:p w14:paraId="09585E11" w14:textId="5D1FE0DC" w:rsidR="0077319A" w:rsidRPr="00E17394" w:rsidRDefault="0077319A" w:rsidP="00E17394">
            <w:pPr>
              <w:jc w:val="center"/>
              <w:rPr>
                <w:rFonts w:asciiTheme="minorHAnsi" w:hAnsiTheme="minorHAnsi" w:cstheme="minorHAnsi"/>
                <w:sz w:val="20"/>
                <w:szCs w:val="18"/>
              </w:rPr>
            </w:pPr>
            <w:r w:rsidRPr="00E17394">
              <w:rPr>
                <w:rFonts w:asciiTheme="minorHAnsi" w:hAnsiTheme="minorHAnsi" w:cstheme="minorHAnsi"/>
                <w:sz w:val="20"/>
                <w:szCs w:val="18"/>
              </w:rPr>
              <w:t xml:space="preserve">No references to </w:t>
            </w:r>
            <w:r w:rsidR="00A9269B">
              <w:rPr>
                <w:rFonts w:asciiTheme="minorHAnsi" w:hAnsiTheme="minorHAnsi" w:cstheme="minorHAnsi"/>
                <w:sz w:val="20"/>
                <w:szCs w:val="18"/>
              </w:rPr>
              <w:t>breast milk</w:t>
            </w:r>
          </w:p>
          <w:p w14:paraId="1E1D608F" w14:textId="77777777" w:rsidR="0077319A" w:rsidRPr="00E17394" w:rsidRDefault="0077319A" w:rsidP="00E17394">
            <w:pPr>
              <w:jc w:val="center"/>
              <w:rPr>
                <w:rFonts w:asciiTheme="minorHAnsi" w:hAnsiTheme="minorHAnsi" w:cstheme="minorHAnsi"/>
                <w:sz w:val="20"/>
                <w:szCs w:val="18"/>
              </w:rPr>
            </w:pPr>
          </w:p>
          <w:p w14:paraId="75606B12" w14:textId="77777777" w:rsidR="0077319A" w:rsidRPr="00E17394" w:rsidRDefault="0077319A" w:rsidP="00E17394">
            <w:pPr>
              <w:jc w:val="center"/>
              <w:rPr>
                <w:rFonts w:asciiTheme="minorHAnsi" w:hAnsiTheme="minorHAnsi" w:cstheme="minorHAnsi"/>
                <w:sz w:val="20"/>
                <w:szCs w:val="18"/>
              </w:rPr>
            </w:pPr>
          </w:p>
        </w:tc>
        <w:tc>
          <w:tcPr>
            <w:tcW w:w="3119" w:type="dxa"/>
            <w:tcBorders>
              <w:top w:val="single" w:sz="4" w:space="0" w:color="000000"/>
              <w:left w:val="single" w:sz="4" w:space="0" w:color="000000"/>
              <w:right w:val="single" w:sz="4" w:space="0" w:color="000000"/>
            </w:tcBorders>
            <w:vAlign w:val="center"/>
          </w:tcPr>
          <w:p w14:paraId="7C1FC08D" w14:textId="59B079EF" w:rsidR="0077319A" w:rsidRPr="00E17394" w:rsidRDefault="00C81E4C" w:rsidP="00E17394">
            <w:pPr>
              <w:jc w:val="center"/>
              <w:rPr>
                <w:rFonts w:asciiTheme="minorHAnsi" w:hAnsiTheme="minorHAnsi" w:cstheme="minorHAnsi"/>
                <w:sz w:val="20"/>
                <w:szCs w:val="18"/>
              </w:rPr>
            </w:pPr>
            <w:r w:rsidRPr="00E17394">
              <w:rPr>
                <w:rFonts w:asciiTheme="minorHAnsi" w:hAnsiTheme="minorHAnsi" w:cstheme="minorHAnsi"/>
                <w:sz w:val="28"/>
                <w:szCs w:val="18"/>
                <w:lang w:eastAsia="en-GB"/>
              </w:rPr>
              <w:sym w:font="Wingdings" w:char="F0FB"/>
            </w:r>
          </w:p>
        </w:tc>
      </w:tr>
      <w:tr w:rsidR="0077319A" w14:paraId="082120E4" w14:textId="77777777" w:rsidTr="006B08EF">
        <w:trPr>
          <w:trHeight w:val="648"/>
        </w:trPr>
        <w:tc>
          <w:tcPr>
            <w:tcW w:w="1838" w:type="dxa"/>
            <w:tcBorders>
              <w:top w:val="single" w:sz="4" w:space="0" w:color="000000"/>
              <w:left w:val="single" w:sz="4" w:space="0" w:color="000000"/>
              <w:right w:val="single" w:sz="4" w:space="0" w:color="000000"/>
            </w:tcBorders>
            <w:vAlign w:val="center"/>
          </w:tcPr>
          <w:p w14:paraId="73631922" w14:textId="0BC1FD48" w:rsidR="0077319A" w:rsidRPr="00E17394" w:rsidRDefault="0077319A" w:rsidP="00E17394">
            <w:pPr>
              <w:jc w:val="center"/>
              <w:rPr>
                <w:rFonts w:asciiTheme="minorHAnsi" w:hAnsiTheme="minorHAnsi" w:cstheme="minorHAnsi"/>
                <w:b/>
                <w:sz w:val="20"/>
                <w:szCs w:val="18"/>
                <w:lang w:eastAsia="en-GB"/>
              </w:rPr>
            </w:pPr>
            <w:r w:rsidRPr="00E17394">
              <w:rPr>
                <w:rFonts w:asciiTheme="minorHAnsi" w:hAnsiTheme="minorHAnsi" w:cstheme="minorHAnsi"/>
                <w:sz w:val="20"/>
                <w:szCs w:val="18"/>
              </w:rPr>
              <w:t>European Union</w:t>
            </w:r>
          </w:p>
        </w:tc>
        <w:tc>
          <w:tcPr>
            <w:tcW w:w="1843" w:type="dxa"/>
            <w:tcBorders>
              <w:top w:val="single" w:sz="4" w:space="0" w:color="000000"/>
              <w:left w:val="single" w:sz="4" w:space="0" w:color="000000"/>
              <w:right w:val="single" w:sz="4" w:space="0" w:color="000000"/>
            </w:tcBorders>
            <w:vAlign w:val="center"/>
          </w:tcPr>
          <w:p w14:paraId="5C333AE5" w14:textId="1B500316" w:rsidR="0077319A" w:rsidRPr="00E17394" w:rsidRDefault="0077319A" w:rsidP="00E17394">
            <w:pPr>
              <w:jc w:val="center"/>
              <w:rPr>
                <w:rFonts w:asciiTheme="minorHAnsi" w:hAnsiTheme="minorHAnsi" w:cstheme="minorHAnsi"/>
                <w:sz w:val="20"/>
                <w:szCs w:val="18"/>
                <w:lang w:eastAsia="en-GB"/>
              </w:rPr>
            </w:pPr>
            <w:r w:rsidRPr="00E17394">
              <w:rPr>
                <w:rFonts w:asciiTheme="minorHAnsi" w:hAnsiTheme="minorHAnsi" w:cstheme="minorHAnsi"/>
                <w:sz w:val="20"/>
                <w:szCs w:val="18"/>
                <w:lang w:eastAsia="en-GB"/>
              </w:rPr>
              <w:t>N/A</w:t>
            </w:r>
          </w:p>
        </w:tc>
        <w:tc>
          <w:tcPr>
            <w:tcW w:w="3827" w:type="dxa"/>
            <w:tcBorders>
              <w:top w:val="single" w:sz="4" w:space="0" w:color="000000"/>
              <w:left w:val="single" w:sz="4" w:space="0" w:color="000000"/>
              <w:right w:val="single" w:sz="4" w:space="0" w:color="000000"/>
            </w:tcBorders>
            <w:vAlign w:val="center"/>
          </w:tcPr>
          <w:p w14:paraId="3BC98011" w14:textId="77777777" w:rsidR="00B60E5A" w:rsidRPr="00E17394" w:rsidRDefault="00B60E5A" w:rsidP="00B60E5A">
            <w:pPr>
              <w:ind w:left="-420" w:firstLine="526"/>
              <w:jc w:val="center"/>
              <w:rPr>
                <w:rFonts w:asciiTheme="minorHAnsi" w:hAnsiTheme="minorHAnsi" w:cstheme="minorHAnsi"/>
                <w:sz w:val="20"/>
                <w:szCs w:val="18"/>
                <w:lang w:eastAsia="en-GB"/>
              </w:rPr>
            </w:pPr>
            <w:r w:rsidRPr="00E17394">
              <w:rPr>
                <w:rFonts w:asciiTheme="minorHAnsi" w:hAnsiTheme="minorHAnsi" w:cstheme="minorHAnsi"/>
                <w:sz w:val="20"/>
                <w:szCs w:val="18"/>
                <w:lang w:eastAsia="en-GB"/>
              </w:rPr>
              <w:sym w:font="Wingdings" w:char="F0FC"/>
            </w:r>
          </w:p>
          <w:p w14:paraId="1A889A17" w14:textId="587CE584" w:rsidR="0077319A" w:rsidRDefault="00B60E5A" w:rsidP="00B60E5A">
            <w:pPr>
              <w:ind w:firstLine="30"/>
              <w:jc w:val="center"/>
              <w:rPr>
                <w:rFonts w:asciiTheme="minorHAnsi" w:hAnsiTheme="minorHAnsi" w:cstheme="minorHAnsi"/>
                <w:sz w:val="20"/>
                <w:szCs w:val="18"/>
                <w:lang w:eastAsia="en-GB"/>
              </w:rPr>
            </w:pPr>
            <w:r w:rsidRPr="00E17394">
              <w:rPr>
                <w:rFonts w:asciiTheme="minorHAnsi" w:hAnsiTheme="minorHAnsi" w:cstheme="minorHAnsi"/>
                <w:sz w:val="20"/>
                <w:szCs w:val="18"/>
                <w:lang w:eastAsia="en-GB"/>
              </w:rPr>
              <w:t>Some</w:t>
            </w:r>
            <w:r>
              <w:rPr>
                <w:rFonts w:asciiTheme="minorHAnsi" w:hAnsiTheme="minorHAnsi" w:cstheme="minorHAnsi"/>
                <w:sz w:val="20"/>
                <w:szCs w:val="18"/>
                <w:lang w:eastAsia="en-GB"/>
              </w:rPr>
              <w:t xml:space="preserve"> permitted for products </w:t>
            </w:r>
            <w:r w:rsidR="0077319A" w:rsidRPr="00E17394">
              <w:rPr>
                <w:rFonts w:asciiTheme="minorHAnsi" w:hAnsiTheme="minorHAnsi" w:cstheme="minorHAnsi"/>
                <w:sz w:val="20"/>
                <w:szCs w:val="18"/>
                <w:lang w:eastAsia="en-GB"/>
              </w:rPr>
              <w:t>+ 6 months</w:t>
            </w:r>
            <w:r>
              <w:rPr>
                <w:rFonts w:asciiTheme="minorHAnsi" w:hAnsiTheme="minorHAnsi" w:cstheme="minorHAnsi"/>
                <w:sz w:val="20"/>
                <w:szCs w:val="18"/>
                <w:lang w:eastAsia="en-GB"/>
              </w:rPr>
              <w:t xml:space="preserve"> – with conditions and approval </w:t>
            </w:r>
          </w:p>
          <w:p w14:paraId="4A7DDF9B" w14:textId="77777777" w:rsidR="00C80D06" w:rsidRDefault="00C80D06" w:rsidP="00B60E5A">
            <w:pPr>
              <w:ind w:firstLine="30"/>
              <w:jc w:val="center"/>
              <w:rPr>
                <w:rFonts w:asciiTheme="minorHAnsi" w:hAnsiTheme="minorHAnsi" w:cstheme="minorHAnsi"/>
                <w:sz w:val="20"/>
                <w:szCs w:val="18"/>
                <w:lang w:eastAsia="en-GB"/>
              </w:rPr>
            </w:pPr>
          </w:p>
          <w:p w14:paraId="15FF6AAE" w14:textId="6D8D0374" w:rsidR="00C80D06" w:rsidRPr="00E17394" w:rsidRDefault="00332901" w:rsidP="00B60E5A">
            <w:pPr>
              <w:ind w:firstLine="30"/>
              <w:jc w:val="center"/>
              <w:rPr>
                <w:rFonts w:asciiTheme="minorHAnsi" w:hAnsiTheme="minorHAnsi" w:cstheme="minorHAnsi"/>
                <w:sz w:val="20"/>
                <w:szCs w:val="18"/>
                <w:lang w:eastAsia="en-GB"/>
              </w:rPr>
            </w:pPr>
            <w:r>
              <w:rPr>
                <w:rFonts w:asciiTheme="minorHAnsi" w:hAnsiTheme="minorHAnsi" w:cstheme="minorHAnsi"/>
                <w:sz w:val="20"/>
                <w:szCs w:val="18"/>
              </w:rPr>
              <w:sym w:font="Wingdings" w:char="F0FB"/>
            </w:r>
            <w:r>
              <w:rPr>
                <w:rFonts w:asciiTheme="minorHAnsi" w:hAnsiTheme="minorHAnsi" w:cstheme="minorHAnsi"/>
                <w:sz w:val="20"/>
                <w:szCs w:val="18"/>
              </w:rPr>
              <w:t xml:space="preserve"> </w:t>
            </w:r>
            <w:r w:rsidR="00C80D06">
              <w:rPr>
                <w:rFonts w:asciiTheme="minorHAnsi" w:hAnsiTheme="minorHAnsi" w:cstheme="minorHAnsi"/>
                <w:sz w:val="20"/>
                <w:szCs w:val="18"/>
                <w:lang w:eastAsia="en-GB"/>
              </w:rPr>
              <w:t xml:space="preserve">No specific health claim approved </w:t>
            </w:r>
          </w:p>
        </w:tc>
        <w:tc>
          <w:tcPr>
            <w:tcW w:w="1681" w:type="dxa"/>
            <w:tcBorders>
              <w:top w:val="single" w:sz="4" w:space="0" w:color="000000"/>
              <w:left w:val="single" w:sz="4" w:space="0" w:color="000000"/>
              <w:right w:val="single" w:sz="4" w:space="0" w:color="000000"/>
            </w:tcBorders>
            <w:vAlign w:val="center"/>
          </w:tcPr>
          <w:p w14:paraId="19AFEA5F" w14:textId="57E44A6D" w:rsidR="0077319A" w:rsidRPr="00E17394" w:rsidRDefault="0077319A" w:rsidP="00B60E5A">
            <w:pPr>
              <w:jc w:val="center"/>
              <w:rPr>
                <w:rFonts w:asciiTheme="minorHAnsi" w:hAnsiTheme="minorHAnsi" w:cstheme="minorHAnsi"/>
                <w:sz w:val="20"/>
                <w:szCs w:val="18"/>
              </w:rPr>
            </w:pPr>
            <w:r w:rsidRPr="00E17394">
              <w:rPr>
                <w:rFonts w:asciiTheme="minorHAnsi" w:hAnsiTheme="minorHAnsi" w:cstheme="minorHAnsi"/>
                <w:sz w:val="20"/>
                <w:szCs w:val="18"/>
                <w:lang w:eastAsia="en-GB"/>
              </w:rPr>
              <w:sym w:font="Wingdings" w:char="F0FC"/>
            </w:r>
          </w:p>
        </w:tc>
        <w:tc>
          <w:tcPr>
            <w:tcW w:w="2288" w:type="dxa"/>
            <w:tcBorders>
              <w:top w:val="single" w:sz="4" w:space="0" w:color="000000"/>
              <w:left w:val="single" w:sz="4" w:space="0" w:color="000000"/>
              <w:right w:val="single" w:sz="4" w:space="0" w:color="000000"/>
            </w:tcBorders>
            <w:vAlign w:val="center"/>
          </w:tcPr>
          <w:p w14:paraId="05B5086D" w14:textId="4C553D6D" w:rsidR="0077319A" w:rsidRPr="00E17394" w:rsidRDefault="0077319A" w:rsidP="00B60E5A">
            <w:pPr>
              <w:ind w:left="-420" w:firstLine="526"/>
              <w:jc w:val="center"/>
              <w:rPr>
                <w:rFonts w:asciiTheme="minorHAnsi" w:hAnsiTheme="minorHAnsi" w:cstheme="minorHAnsi"/>
                <w:sz w:val="20"/>
                <w:szCs w:val="18"/>
                <w:lang w:eastAsia="en-GB"/>
              </w:rPr>
            </w:pPr>
            <w:r w:rsidRPr="00E17394">
              <w:rPr>
                <w:rFonts w:asciiTheme="minorHAnsi" w:hAnsiTheme="minorHAnsi" w:cstheme="minorHAnsi"/>
                <w:sz w:val="20"/>
                <w:szCs w:val="18"/>
              </w:rPr>
              <w:sym w:font="Wingdings" w:char="F0FC"/>
            </w:r>
          </w:p>
        </w:tc>
        <w:tc>
          <w:tcPr>
            <w:tcW w:w="3119" w:type="dxa"/>
            <w:tcBorders>
              <w:top w:val="single" w:sz="4" w:space="0" w:color="000000"/>
              <w:left w:val="single" w:sz="4" w:space="0" w:color="000000"/>
              <w:right w:val="single" w:sz="4" w:space="0" w:color="000000"/>
            </w:tcBorders>
            <w:vAlign w:val="center"/>
          </w:tcPr>
          <w:p w14:paraId="07E4D9DC" w14:textId="6B829DB4" w:rsidR="0077319A" w:rsidRPr="00E17394" w:rsidRDefault="00C81E4C" w:rsidP="00B60E5A">
            <w:pPr>
              <w:ind w:left="-420" w:firstLine="526"/>
              <w:jc w:val="center"/>
              <w:rPr>
                <w:rFonts w:asciiTheme="minorHAnsi" w:hAnsiTheme="minorHAnsi" w:cstheme="minorHAnsi"/>
                <w:sz w:val="20"/>
                <w:szCs w:val="18"/>
                <w:lang w:eastAsia="en-GB"/>
              </w:rPr>
            </w:pPr>
            <w:r w:rsidRPr="00E17394">
              <w:rPr>
                <w:rFonts w:asciiTheme="minorHAnsi" w:hAnsiTheme="minorHAnsi" w:cstheme="minorHAnsi"/>
                <w:sz w:val="20"/>
                <w:szCs w:val="18"/>
              </w:rPr>
              <w:sym w:font="Wingdings" w:char="F0FC"/>
            </w:r>
          </w:p>
        </w:tc>
      </w:tr>
      <w:tr w:rsidR="0077319A" w14:paraId="4FA24DF2" w14:textId="77777777" w:rsidTr="00872469">
        <w:trPr>
          <w:cantSplit/>
        </w:trPr>
        <w:tc>
          <w:tcPr>
            <w:tcW w:w="1838" w:type="dxa"/>
            <w:tcBorders>
              <w:top w:val="single" w:sz="4" w:space="0" w:color="000000"/>
              <w:left w:val="single" w:sz="4" w:space="0" w:color="000000"/>
              <w:bottom w:val="single" w:sz="4" w:space="0" w:color="000000"/>
              <w:right w:val="single" w:sz="4" w:space="0" w:color="000000"/>
            </w:tcBorders>
            <w:vAlign w:val="center"/>
          </w:tcPr>
          <w:p w14:paraId="60512CF7" w14:textId="5BC7BA6B" w:rsidR="0077319A" w:rsidRPr="00E17394" w:rsidRDefault="0077319A" w:rsidP="00E17394">
            <w:pPr>
              <w:jc w:val="center"/>
              <w:rPr>
                <w:rFonts w:asciiTheme="minorHAnsi" w:hAnsiTheme="minorHAnsi" w:cstheme="minorHAnsi"/>
                <w:b/>
                <w:sz w:val="20"/>
                <w:szCs w:val="18"/>
                <w:lang w:eastAsia="en-GB"/>
              </w:rPr>
            </w:pPr>
            <w:r w:rsidRPr="00E17394">
              <w:rPr>
                <w:rFonts w:asciiTheme="minorHAnsi" w:hAnsiTheme="minorHAnsi" w:cstheme="minorHAnsi"/>
                <w:sz w:val="20"/>
                <w:szCs w:val="18"/>
              </w:rPr>
              <w:t>Singapore</w:t>
            </w:r>
          </w:p>
          <w:p w14:paraId="7B95ADD3" w14:textId="2984A240" w:rsidR="0077319A" w:rsidRPr="00E17394" w:rsidRDefault="0077319A" w:rsidP="00E17394">
            <w:pPr>
              <w:jc w:val="center"/>
              <w:rPr>
                <w:rFonts w:asciiTheme="minorHAnsi" w:hAnsiTheme="minorHAnsi" w:cstheme="minorHAnsi"/>
                <w:b/>
                <w:sz w:val="20"/>
                <w:szCs w:val="18"/>
                <w:lang w:eastAsia="en-GB"/>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C547C85" w14:textId="53ECEE1C" w:rsidR="0077319A" w:rsidRPr="00E17394" w:rsidRDefault="0077319A" w:rsidP="00E17394">
            <w:pPr>
              <w:jc w:val="center"/>
              <w:rPr>
                <w:rFonts w:asciiTheme="minorHAnsi" w:hAnsiTheme="minorHAnsi" w:cstheme="minorHAnsi"/>
                <w:b/>
                <w:sz w:val="20"/>
                <w:szCs w:val="18"/>
                <w:lang w:eastAsia="en-GB"/>
              </w:rPr>
            </w:pPr>
            <w:r w:rsidRPr="00E17394">
              <w:rPr>
                <w:rFonts w:asciiTheme="minorHAnsi" w:hAnsiTheme="minorHAnsi" w:cstheme="minorHAnsi"/>
                <w:sz w:val="20"/>
                <w:szCs w:val="18"/>
              </w:rPr>
              <w:sym w:font="Wingdings" w:char="F0FC"/>
            </w:r>
          </w:p>
        </w:tc>
        <w:tc>
          <w:tcPr>
            <w:tcW w:w="3827" w:type="dxa"/>
            <w:tcBorders>
              <w:top w:val="single" w:sz="4" w:space="0" w:color="000000"/>
              <w:left w:val="single" w:sz="4" w:space="0" w:color="000000"/>
              <w:bottom w:val="single" w:sz="4" w:space="0" w:color="000000"/>
              <w:right w:val="single" w:sz="4" w:space="0" w:color="000000"/>
            </w:tcBorders>
            <w:vAlign w:val="center"/>
          </w:tcPr>
          <w:p w14:paraId="519219AB" w14:textId="35AC187D" w:rsidR="0077319A" w:rsidRPr="00B60E5A" w:rsidRDefault="00E17394" w:rsidP="00E17394">
            <w:pPr>
              <w:ind w:firstLine="30"/>
              <w:jc w:val="center"/>
              <w:rPr>
                <w:rFonts w:asciiTheme="minorHAnsi" w:hAnsiTheme="minorHAnsi" w:cstheme="minorHAnsi"/>
                <w:szCs w:val="18"/>
              </w:rPr>
            </w:pPr>
            <w:r w:rsidRPr="00B60E5A">
              <w:rPr>
                <w:rFonts w:asciiTheme="minorHAnsi" w:hAnsiTheme="minorHAnsi" w:cstheme="minorHAnsi"/>
                <w:sz w:val="28"/>
                <w:szCs w:val="18"/>
              </w:rPr>
              <w:sym w:font="Wingdings" w:char="F0FB"/>
            </w:r>
            <w:r w:rsidR="0077319A" w:rsidRPr="00B60E5A">
              <w:rPr>
                <w:rFonts w:asciiTheme="minorHAnsi" w:hAnsiTheme="minorHAnsi" w:cstheme="minorHAnsi"/>
                <w:szCs w:val="18"/>
              </w:rPr>
              <w:t xml:space="preserve"> </w:t>
            </w:r>
          </w:p>
          <w:p w14:paraId="61B83D71" w14:textId="1594946F" w:rsidR="00A710AC" w:rsidRDefault="0077319A" w:rsidP="00E17394">
            <w:pPr>
              <w:ind w:firstLine="30"/>
              <w:jc w:val="center"/>
              <w:rPr>
                <w:rFonts w:asciiTheme="minorHAnsi" w:hAnsiTheme="minorHAnsi" w:cstheme="minorHAnsi"/>
                <w:sz w:val="20"/>
                <w:szCs w:val="18"/>
              </w:rPr>
            </w:pPr>
            <w:r w:rsidRPr="00E17394">
              <w:rPr>
                <w:rFonts w:asciiTheme="minorHAnsi" w:hAnsiTheme="minorHAnsi" w:cstheme="minorHAnsi"/>
                <w:sz w:val="20"/>
                <w:szCs w:val="18"/>
              </w:rPr>
              <w:t>Can make ingredient claims but using correct scientific name or acronym (e.g. GOS, DHA)</w:t>
            </w:r>
          </w:p>
          <w:p w14:paraId="7CA1A5A1" w14:textId="77777777" w:rsidR="00C80D06" w:rsidRPr="00E17394" w:rsidRDefault="00C80D06" w:rsidP="00E17394">
            <w:pPr>
              <w:ind w:firstLine="30"/>
              <w:jc w:val="center"/>
              <w:rPr>
                <w:rFonts w:asciiTheme="minorHAnsi" w:hAnsiTheme="minorHAnsi" w:cstheme="minorHAnsi"/>
                <w:sz w:val="20"/>
                <w:szCs w:val="18"/>
              </w:rPr>
            </w:pPr>
          </w:p>
          <w:p w14:paraId="3086C27C" w14:textId="4AB1EA8F" w:rsidR="00C80D06" w:rsidRDefault="00A710AC" w:rsidP="00E17394">
            <w:pPr>
              <w:ind w:firstLine="30"/>
              <w:jc w:val="center"/>
              <w:rPr>
                <w:rFonts w:asciiTheme="minorHAnsi" w:hAnsiTheme="minorHAnsi" w:cstheme="minorHAnsi"/>
                <w:sz w:val="20"/>
                <w:szCs w:val="18"/>
              </w:rPr>
            </w:pPr>
            <w:r w:rsidRPr="00E17394">
              <w:rPr>
                <w:rFonts w:asciiTheme="minorHAnsi" w:hAnsiTheme="minorHAnsi" w:cstheme="minorHAnsi"/>
                <w:sz w:val="20"/>
                <w:szCs w:val="18"/>
              </w:rPr>
              <w:t>C</w:t>
            </w:r>
            <w:r w:rsidR="0077319A" w:rsidRPr="00E17394">
              <w:rPr>
                <w:rFonts w:asciiTheme="minorHAnsi" w:hAnsiTheme="minorHAnsi" w:cstheme="minorHAnsi"/>
                <w:sz w:val="20"/>
                <w:szCs w:val="18"/>
              </w:rPr>
              <w:t>annot imply that the formula is enriched, fortified or is an excellent source in any way</w:t>
            </w:r>
          </w:p>
          <w:p w14:paraId="26804E96" w14:textId="77777777" w:rsidR="00C80D06" w:rsidRDefault="00C80D06" w:rsidP="00E17394">
            <w:pPr>
              <w:ind w:firstLine="30"/>
              <w:jc w:val="center"/>
              <w:rPr>
                <w:rFonts w:asciiTheme="minorHAnsi" w:hAnsiTheme="minorHAnsi" w:cstheme="minorHAnsi"/>
                <w:sz w:val="20"/>
                <w:szCs w:val="18"/>
              </w:rPr>
            </w:pPr>
          </w:p>
          <w:p w14:paraId="63A16DD1" w14:textId="6EAD7600" w:rsidR="0077319A" w:rsidRPr="00E17394" w:rsidRDefault="00332901" w:rsidP="00E17394">
            <w:pPr>
              <w:ind w:firstLine="30"/>
              <w:jc w:val="center"/>
              <w:rPr>
                <w:rFonts w:asciiTheme="minorHAnsi" w:hAnsiTheme="minorHAnsi" w:cstheme="minorHAnsi"/>
                <w:b/>
                <w:sz w:val="20"/>
                <w:szCs w:val="18"/>
                <w:lang w:eastAsia="en-GB"/>
              </w:rPr>
            </w:pPr>
            <w:r>
              <w:rPr>
                <w:rFonts w:asciiTheme="minorHAnsi" w:hAnsiTheme="minorHAnsi" w:cstheme="minorHAnsi"/>
                <w:sz w:val="20"/>
                <w:szCs w:val="18"/>
              </w:rPr>
              <w:sym w:font="Wingdings" w:char="F0FB"/>
            </w:r>
            <w:r>
              <w:rPr>
                <w:rFonts w:asciiTheme="minorHAnsi" w:hAnsiTheme="minorHAnsi" w:cstheme="minorHAnsi"/>
                <w:sz w:val="20"/>
                <w:szCs w:val="18"/>
              </w:rPr>
              <w:t xml:space="preserve"> </w:t>
            </w:r>
            <w:r w:rsidR="00C80D06">
              <w:rPr>
                <w:rFonts w:asciiTheme="minorHAnsi" w:hAnsiTheme="minorHAnsi" w:cstheme="minorHAnsi"/>
                <w:sz w:val="20"/>
                <w:szCs w:val="18"/>
              </w:rPr>
              <w:t xml:space="preserve">No specific health claim approved </w:t>
            </w:r>
            <w:r w:rsidR="0077319A" w:rsidRPr="00E17394">
              <w:rPr>
                <w:rFonts w:asciiTheme="minorHAnsi" w:hAnsiTheme="minorHAnsi" w:cstheme="minorHAnsi"/>
                <w:sz w:val="20"/>
                <w:szCs w:val="18"/>
              </w:rPr>
              <w:t xml:space="preserve">  .</w:t>
            </w:r>
          </w:p>
        </w:tc>
        <w:tc>
          <w:tcPr>
            <w:tcW w:w="1681" w:type="dxa"/>
            <w:tcBorders>
              <w:top w:val="single" w:sz="4" w:space="0" w:color="000000"/>
              <w:left w:val="single" w:sz="4" w:space="0" w:color="000000"/>
              <w:bottom w:val="single" w:sz="4" w:space="0" w:color="000000"/>
              <w:right w:val="single" w:sz="4" w:space="0" w:color="000000"/>
            </w:tcBorders>
            <w:vAlign w:val="center"/>
          </w:tcPr>
          <w:p w14:paraId="508B82D4" w14:textId="50C37948" w:rsidR="0077319A" w:rsidRPr="00E17394" w:rsidRDefault="0077319A" w:rsidP="00B60E5A">
            <w:pPr>
              <w:jc w:val="center"/>
              <w:rPr>
                <w:rFonts w:asciiTheme="minorHAnsi" w:hAnsiTheme="minorHAnsi" w:cstheme="minorHAnsi"/>
                <w:sz w:val="20"/>
                <w:szCs w:val="18"/>
                <w:lang w:eastAsia="en-GB"/>
              </w:rPr>
            </w:pPr>
            <w:r w:rsidRPr="00E17394">
              <w:rPr>
                <w:rFonts w:asciiTheme="minorHAnsi" w:hAnsiTheme="minorHAnsi" w:cstheme="minorHAnsi"/>
                <w:sz w:val="20"/>
                <w:szCs w:val="18"/>
                <w:lang w:eastAsia="en-GB"/>
              </w:rPr>
              <w:sym w:font="Wingdings" w:char="F0FC"/>
            </w:r>
          </w:p>
        </w:tc>
        <w:tc>
          <w:tcPr>
            <w:tcW w:w="2288" w:type="dxa"/>
            <w:tcBorders>
              <w:top w:val="single" w:sz="4" w:space="0" w:color="000000"/>
              <w:left w:val="single" w:sz="4" w:space="0" w:color="000000"/>
              <w:bottom w:val="single" w:sz="4" w:space="0" w:color="000000"/>
              <w:right w:val="single" w:sz="4" w:space="0" w:color="000000"/>
            </w:tcBorders>
            <w:vAlign w:val="center"/>
          </w:tcPr>
          <w:p w14:paraId="48AF5BA2" w14:textId="087AB1D4" w:rsidR="0077319A" w:rsidRPr="00E17394" w:rsidRDefault="0077319A" w:rsidP="00B60E5A">
            <w:pPr>
              <w:jc w:val="center"/>
              <w:rPr>
                <w:rFonts w:asciiTheme="minorHAnsi" w:hAnsiTheme="minorHAnsi" w:cstheme="minorHAnsi"/>
                <w:sz w:val="20"/>
                <w:szCs w:val="18"/>
                <w:lang w:eastAsia="en-GB"/>
              </w:rPr>
            </w:pPr>
            <w:r w:rsidRPr="00E17394">
              <w:rPr>
                <w:rFonts w:asciiTheme="minorHAnsi" w:hAnsiTheme="minorHAnsi" w:cstheme="minorHAnsi"/>
                <w:sz w:val="20"/>
                <w:szCs w:val="18"/>
                <w:lang w:eastAsia="en-GB"/>
              </w:rPr>
              <w:sym w:font="Wingdings" w:char="F0FC"/>
            </w:r>
          </w:p>
        </w:tc>
        <w:tc>
          <w:tcPr>
            <w:tcW w:w="3119" w:type="dxa"/>
            <w:tcBorders>
              <w:top w:val="single" w:sz="4" w:space="0" w:color="000000"/>
              <w:left w:val="single" w:sz="4" w:space="0" w:color="000000"/>
              <w:bottom w:val="single" w:sz="4" w:space="0" w:color="000000"/>
              <w:right w:val="single" w:sz="4" w:space="0" w:color="000000"/>
            </w:tcBorders>
            <w:vAlign w:val="center"/>
          </w:tcPr>
          <w:p w14:paraId="19786EC0" w14:textId="77777777" w:rsidR="00A710AC" w:rsidRPr="00E17394" w:rsidRDefault="00A710AC" w:rsidP="00E17394">
            <w:pPr>
              <w:ind w:left="-420" w:firstLine="526"/>
              <w:jc w:val="center"/>
              <w:rPr>
                <w:rFonts w:asciiTheme="minorHAnsi" w:hAnsiTheme="minorHAnsi" w:cstheme="minorHAnsi"/>
                <w:sz w:val="20"/>
                <w:szCs w:val="18"/>
              </w:rPr>
            </w:pPr>
            <w:r w:rsidRPr="00E17394">
              <w:rPr>
                <w:rFonts w:asciiTheme="minorHAnsi" w:hAnsiTheme="minorHAnsi" w:cstheme="minorHAnsi"/>
                <w:sz w:val="20"/>
                <w:szCs w:val="18"/>
              </w:rPr>
              <w:sym w:font="Wingdings" w:char="F0FC"/>
            </w:r>
          </w:p>
          <w:p w14:paraId="2887C486" w14:textId="152DD9BB" w:rsidR="0077319A" w:rsidRPr="00E17394" w:rsidRDefault="00B60E5A" w:rsidP="00E17394">
            <w:pPr>
              <w:jc w:val="center"/>
              <w:rPr>
                <w:rFonts w:asciiTheme="minorHAnsi" w:hAnsiTheme="minorHAnsi" w:cstheme="minorHAnsi"/>
                <w:sz w:val="20"/>
                <w:szCs w:val="18"/>
              </w:rPr>
            </w:pPr>
            <w:r>
              <w:rPr>
                <w:rFonts w:asciiTheme="minorHAnsi" w:hAnsiTheme="minorHAnsi" w:cstheme="minorHAnsi"/>
                <w:sz w:val="20"/>
                <w:szCs w:val="18"/>
              </w:rPr>
              <w:t>C</w:t>
            </w:r>
            <w:r w:rsidR="00A710AC" w:rsidRPr="00E17394">
              <w:rPr>
                <w:rFonts w:asciiTheme="minorHAnsi" w:hAnsiTheme="minorHAnsi" w:cstheme="minorHAnsi"/>
                <w:sz w:val="20"/>
                <w:szCs w:val="18"/>
              </w:rPr>
              <w:t>orrect scientific name or acronym</w:t>
            </w:r>
          </w:p>
        </w:tc>
      </w:tr>
      <w:tr w:rsidR="002B7430" w14:paraId="509C4138" w14:textId="77777777" w:rsidTr="006B08EF">
        <w:tc>
          <w:tcPr>
            <w:tcW w:w="1838" w:type="dxa"/>
            <w:tcBorders>
              <w:top w:val="single" w:sz="4" w:space="0" w:color="000000"/>
              <w:left w:val="single" w:sz="4" w:space="0" w:color="000000"/>
              <w:right w:val="single" w:sz="4" w:space="0" w:color="000000"/>
            </w:tcBorders>
            <w:vAlign w:val="center"/>
          </w:tcPr>
          <w:p w14:paraId="08290EAC" w14:textId="7FE4F13D" w:rsidR="002B7430" w:rsidRPr="00711400" w:rsidRDefault="002B7430" w:rsidP="00E17394">
            <w:pPr>
              <w:jc w:val="center"/>
              <w:rPr>
                <w:sz w:val="20"/>
                <w:szCs w:val="18"/>
              </w:rPr>
            </w:pPr>
            <w:r w:rsidRPr="00E17394">
              <w:rPr>
                <w:rFonts w:asciiTheme="minorHAnsi" w:hAnsiTheme="minorHAnsi" w:cstheme="minorHAnsi"/>
                <w:sz w:val="20"/>
                <w:szCs w:val="18"/>
                <w:lang w:eastAsia="en-GB"/>
              </w:rPr>
              <w:t>Hong Kong</w:t>
            </w:r>
          </w:p>
        </w:tc>
        <w:tc>
          <w:tcPr>
            <w:tcW w:w="1843" w:type="dxa"/>
            <w:tcBorders>
              <w:top w:val="single" w:sz="4" w:space="0" w:color="000000"/>
              <w:left w:val="single" w:sz="4" w:space="0" w:color="000000"/>
              <w:right w:val="single" w:sz="4" w:space="0" w:color="000000"/>
            </w:tcBorders>
            <w:vAlign w:val="center"/>
          </w:tcPr>
          <w:p w14:paraId="2A24852C" w14:textId="0F16E6AA" w:rsidR="002B7430" w:rsidRPr="00E17394" w:rsidRDefault="002B7430" w:rsidP="00E17394">
            <w:pPr>
              <w:jc w:val="center"/>
              <w:rPr>
                <w:szCs w:val="18"/>
              </w:rPr>
            </w:pPr>
            <w:r w:rsidRPr="00E17394">
              <w:rPr>
                <w:szCs w:val="18"/>
              </w:rPr>
              <w:sym w:font="Wingdings" w:char="F0FC"/>
            </w:r>
          </w:p>
        </w:tc>
        <w:tc>
          <w:tcPr>
            <w:tcW w:w="3827" w:type="dxa"/>
            <w:tcBorders>
              <w:top w:val="single" w:sz="4" w:space="0" w:color="000000"/>
              <w:left w:val="single" w:sz="4" w:space="0" w:color="000000"/>
              <w:right w:val="single" w:sz="4" w:space="0" w:color="000000"/>
            </w:tcBorders>
            <w:vAlign w:val="center"/>
          </w:tcPr>
          <w:p w14:paraId="102F79DA" w14:textId="22D8A320" w:rsidR="002B7430" w:rsidRPr="00E17394" w:rsidRDefault="00E17394" w:rsidP="00E17394">
            <w:pPr>
              <w:ind w:firstLine="30"/>
              <w:jc w:val="center"/>
              <w:rPr>
                <w:rFonts w:asciiTheme="minorHAnsi" w:hAnsiTheme="minorHAnsi" w:cstheme="minorHAnsi"/>
                <w:sz w:val="20"/>
                <w:szCs w:val="18"/>
              </w:rPr>
            </w:pPr>
            <w:r w:rsidRPr="00E17394">
              <w:rPr>
                <w:rFonts w:asciiTheme="minorHAnsi" w:hAnsiTheme="minorHAnsi" w:cstheme="minorHAnsi"/>
                <w:sz w:val="20"/>
                <w:szCs w:val="18"/>
                <w:lang w:eastAsia="en-GB"/>
              </w:rPr>
              <w:t>Some nutrient claims and health claims</w:t>
            </w:r>
          </w:p>
          <w:p w14:paraId="1933A6B7" w14:textId="5C767956" w:rsidR="00C80D06" w:rsidRDefault="00C80D06" w:rsidP="00E17394">
            <w:pPr>
              <w:ind w:firstLine="30"/>
              <w:jc w:val="center"/>
              <w:rPr>
                <w:rFonts w:asciiTheme="minorHAnsi" w:hAnsiTheme="minorHAnsi" w:cstheme="minorHAnsi"/>
                <w:sz w:val="20"/>
                <w:szCs w:val="18"/>
              </w:rPr>
            </w:pPr>
          </w:p>
          <w:p w14:paraId="5615B4A9" w14:textId="1A357B52" w:rsidR="002B7430" w:rsidRPr="00E17394" w:rsidRDefault="00332901" w:rsidP="00E17394">
            <w:pPr>
              <w:ind w:firstLine="30"/>
              <w:jc w:val="center"/>
              <w:rPr>
                <w:rFonts w:asciiTheme="minorHAnsi" w:hAnsiTheme="minorHAnsi" w:cstheme="minorHAnsi"/>
                <w:b/>
                <w:szCs w:val="18"/>
                <w:lang w:eastAsia="en-GB"/>
              </w:rPr>
            </w:pPr>
            <w:r>
              <w:rPr>
                <w:rFonts w:asciiTheme="minorHAnsi" w:hAnsiTheme="minorHAnsi" w:cstheme="minorHAnsi"/>
                <w:sz w:val="20"/>
                <w:szCs w:val="18"/>
              </w:rPr>
              <w:sym w:font="Wingdings" w:char="F0FB"/>
            </w:r>
            <w:r>
              <w:rPr>
                <w:rFonts w:asciiTheme="minorHAnsi" w:hAnsiTheme="minorHAnsi" w:cstheme="minorHAnsi"/>
                <w:sz w:val="20"/>
                <w:szCs w:val="18"/>
              </w:rPr>
              <w:t xml:space="preserve"> </w:t>
            </w:r>
            <w:r w:rsidR="00C80D06">
              <w:rPr>
                <w:rFonts w:asciiTheme="minorHAnsi" w:hAnsiTheme="minorHAnsi" w:cstheme="minorHAnsi"/>
                <w:sz w:val="20"/>
                <w:szCs w:val="18"/>
              </w:rPr>
              <w:t xml:space="preserve">No specific health clam approved </w:t>
            </w:r>
          </w:p>
        </w:tc>
        <w:tc>
          <w:tcPr>
            <w:tcW w:w="1681" w:type="dxa"/>
            <w:tcBorders>
              <w:top w:val="single" w:sz="4" w:space="0" w:color="000000"/>
              <w:left w:val="single" w:sz="4" w:space="0" w:color="000000"/>
              <w:right w:val="single" w:sz="4" w:space="0" w:color="000000"/>
            </w:tcBorders>
            <w:vAlign w:val="center"/>
          </w:tcPr>
          <w:p w14:paraId="19C0A2C5" w14:textId="2CB13D65" w:rsidR="002B7430" w:rsidRPr="00E17394" w:rsidRDefault="00E17394" w:rsidP="00B60E5A">
            <w:pPr>
              <w:jc w:val="center"/>
              <w:rPr>
                <w:szCs w:val="18"/>
                <w:lang w:eastAsia="en-GB"/>
              </w:rPr>
            </w:pPr>
            <w:r w:rsidRPr="00E17394">
              <w:rPr>
                <w:szCs w:val="18"/>
                <w:lang w:eastAsia="en-GB"/>
              </w:rPr>
              <w:sym w:font="Wingdings" w:char="F0FC"/>
            </w:r>
          </w:p>
        </w:tc>
        <w:tc>
          <w:tcPr>
            <w:tcW w:w="2288" w:type="dxa"/>
            <w:tcBorders>
              <w:top w:val="single" w:sz="4" w:space="0" w:color="000000"/>
              <w:left w:val="single" w:sz="4" w:space="0" w:color="000000"/>
              <w:right w:val="single" w:sz="4" w:space="0" w:color="000000"/>
            </w:tcBorders>
            <w:vAlign w:val="center"/>
          </w:tcPr>
          <w:p w14:paraId="0E311E36" w14:textId="64F6894D" w:rsidR="002B7430" w:rsidRPr="00E17394" w:rsidRDefault="002B7430" w:rsidP="00B60E5A">
            <w:pPr>
              <w:jc w:val="center"/>
              <w:rPr>
                <w:szCs w:val="18"/>
                <w:lang w:eastAsia="en-GB"/>
              </w:rPr>
            </w:pPr>
            <w:r w:rsidRPr="00E17394">
              <w:rPr>
                <w:szCs w:val="18"/>
                <w:lang w:eastAsia="en-GB"/>
              </w:rPr>
              <w:sym w:font="Wingdings" w:char="F0FC"/>
            </w:r>
          </w:p>
        </w:tc>
        <w:tc>
          <w:tcPr>
            <w:tcW w:w="3119" w:type="dxa"/>
            <w:tcBorders>
              <w:top w:val="single" w:sz="4" w:space="0" w:color="000000"/>
              <w:left w:val="single" w:sz="4" w:space="0" w:color="000000"/>
              <w:right w:val="single" w:sz="4" w:space="0" w:color="000000"/>
            </w:tcBorders>
            <w:vAlign w:val="center"/>
          </w:tcPr>
          <w:p w14:paraId="734A7FA3" w14:textId="77777777" w:rsidR="00E17394" w:rsidRPr="00E17394" w:rsidRDefault="00E17394" w:rsidP="00E17394">
            <w:pPr>
              <w:jc w:val="center"/>
              <w:rPr>
                <w:rFonts w:asciiTheme="minorHAnsi" w:hAnsiTheme="minorHAnsi" w:cstheme="minorHAnsi"/>
                <w:sz w:val="20"/>
                <w:szCs w:val="18"/>
              </w:rPr>
            </w:pPr>
            <w:r w:rsidRPr="00E17394">
              <w:rPr>
                <w:rFonts w:asciiTheme="minorHAnsi" w:hAnsiTheme="minorHAnsi" w:cstheme="minorHAnsi"/>
                <w:sz w:val="20"/>
                <w:szCs w:val="18"/>
              </w:rPr>
              <w:t>Names or abbreviations that are commonly known to consumers are considered</w:t>
            </w:r>
          </w:p>
          <w:p w14:paraId="0D60AB67" w14:textId="0C0F7AC4" w:rsidR="002B7430" w:rsidRPr="00E17394" w:rsidRDefault="00E17394" w:rsidP="00E17394">
            <w:pPr>
              <w:ind w:left="-420" w:firstLine="526"/>
              <w:jc w:val="center"/>
              <w:rPr>
                <w:rFonts w:asciiTheme="minorHAnsi" w:hAnsiTheme="minorHAnsi" w:cstheme="minorHAnsi"/>
                <w:sz w:val="20"/>
                <w:szCs w:val="18"/>
              </w:rPr>
            </w:pPr>
            <w:r w:rsidRPr="00E17394">
              <w:rPr>
                <w:rFonts w:asciiTheme="minorHAnsi" w:hAnsiTheme="minorHAnsi" w:cstheme="minorHAnsi"/>
                <w:sz w:val="20"/>
                <w:szCs w:val="18"/>
              </w:rPr>
              <w:t>acceptable in nutrition labelling</w:t>
            </w:r>
          </w:p>
        </w:tc>
      </w:tr>
    </w:tbl>
    <w:p w14:paraId="55F9FADC" w14:textId="77777777" w:rsidR="00C80D06" w:rsidRDefault="00C80D06" w:rsidP="00E17394">
      <w:pPr>
        <w:pStyle w:val="FSTableHeading"/>
      </w:pPr>
    </w:p>
    <w:p w14:paraId="3F6CBEB6" w14:textId="44A81C29" w:rsidR="00711400" w:rsidRDefault="00E17394" w:rsidP="00E17394">
      <w:pPr>
        <w:pStyle w:val="FSTableHeading"/>
      </w:pPr>
      <w:r>
        <w:t xml:space="preserve">Table 2b: Labelling framework for FSFYC/toddler milks </w:t>
      </w:r>
      <w:r w:rsidR="007014E0">
        <w:t xml:space="preserve">in selected countries or regions </w:t>
      </w:r>
      <w:r>
        <w:t xml:space="preserve"> </w:t>
      </w:r>
    </w:p>
    <w:tbl>
      <w:tblPr>
        <w:tblStyle w:val="TableGrid"/>
        <w:tblW w:w="14596" w:type="dxa"/>
        <w:tblLayout w:type="fixed"/>
        <w:tblLook w:val="04A0" w:firstRow="1" w:lastRow="0" w:firstColumn="1" w:lastColumn="0" w:noHBand="0" w:noVBand="1"/>
      </w:tblPr>
      <w:tblGrid>
        <w:gridCol w:w="2457"/>
        <w:gridCol w:w="2043"/>
        <w:gridCol w:w="2853"/>
        <w:gridCol w:w="1802"/>
        <w:gridCol w:w="2702"/>
        <w:gridCol w:w="2739"/>
      </w:tblGrid>
      <w:tr w:rsidR="00B56B17" w:rsidRPr="00192F77" w14:paraId="0B2CE287" w14:textId="77777777" w:rsidTr="00C80D06">
        <w:trPr>
          <w:trHeight w:val="772"/>
          <w:tblHeader/>
        </w:trPr>
        <w:tc>
          <w:tcPr>
            <w:tcW w:w="2457" w:type="dxa"/>
            <w:vMerge w:val="restart"/>
            <w:tcBorders>
              <w:top w:val="single" w:sz="4" w:space="0" w:color="000000"/>
              <w:left w:val="single" w:sz="4" w:space="0" w:color="000000"/>
              <w:right w:val="single" w:sz="4" w:space="0" w:color="000000"/>
            </w:tcBorders>
            <w:shd w:val="clear" w:color="auto" w:fill="DBE5F1" w:themeFill="accent1" w:themeFillTint="33"/>
            <w:vAlign w:val="center"/>
          </w:tcPr>
          <w:p w14:paraId="3B033810" w14:textId="77777777" w:rsidR="00B56B17" w:rsidRPr="00192F77" w:rsidRDefault="00B56B17" w:rsidP="00E17394">
            <w:pPr>
              <w:pStyle w:val="FSTableColumnRowheading"/>
              <w:jc w:val="center"/>
            </w:pPr>
          </w:p>
          <w:p w14:paraId="058A891F" w14:textId="77777777" w:rsidR="00B56B17" w:rsidRPr="00192F77" w:rsidRDefault="00B56B17" w:rsidP="00E17394">
            <w:pPr>
              <w:pStyle w:val="FSTableColumnRowheading"/>
              <w:jc w:val="center"/>
            </w:pPr>
            <w:r w:rsidRPr="00192F77">
              <w:t>Country</w:t>
            </w:r>
          </w:p>
        </w:tc>
        <w:tc>
          <w:tcPr>
            <w:tcW w:w="2043" w:type="dxa"/>
            <w:vMerge w:val="restart"/>
            <w:tcBorders>
              <w:top w:val="single" w:sz="4" w:space="0" w:color="000000"/>
              <w:left w:val="single" w:sz="4" w:space="0" w:color="000000"/>
              <w:right w:val="single" w:sz="4" w:space="0" w:color="000000"/>
            </w:tcBorders>
            <w:shd w:val="clear" w:color="auto" w:fill="DBE5F1" w:themeFill="accent1" w:themeFillTint="33"/>
            <w:vAlign w:val="center"/>
          </w:tcPr>
          <w:p w14:paraId="2EBB0C6E" w14:textId="5650B846" w:rsidR="00B56B17" w:rsidRPr="00192F77" w:rsidRDefault="00B56B17" w:rsidP="00E17394">
            <w:pPr>
              <w:pStyle w:val="FSTableColumnRowheading"/>
              <w:jc w:val="center"/>
            </w:pPr>
            <w:r>
              <w:t>Regulates products for young children as ‘</w:t>
            </w:r>
            <w:r w:rsidR="00A9269B">
              <w:t>breast milk</w:t>
            </w:r>
            <w:r>
              <w:t xml:space="preserve"> substitutes’</w:t>
            </w:r>
          </w:p>
        </w:tc>
        <w:tc>
          <w:tcPr>
            <w:tcW w:w="10096" w:type="dxa"/>
            <w:gridSpan w:val="4"/>
            <w:tcBorders>
              <w:top w:val="single" w:sz="4" w:space="0" w:color="000000"/>
              <w:left w:val="single" w:sz="4" w:space="0" w:color="000000"/>
              <w:right w:val="single" w:sz="4" w:space="0" w:color="000000"/>
            </w:tcBorders>
            <w:shd w:val="clear" w:color="auto" w:fill="DBE5F1" w:themeFill="accent1" w:themeFillTint="33"/>
            <w:vAlign w:val="center"/>
          </w:tcPr>
          <w:p w14:paraId="58D8AB35" w14:textId="65130948" w:rsidR="00B56B17" w:rsidRPr="00192F77" w:rsidRDefault="00F04584" w:rsidP="00E17394">
            <w:pPr>
              <w:pStyle w:val="FSTableColumnRowheading"/>
              <w:jc w:val="center"/>
            </w:pPr>
            <w:r>
              <w:t xml:space="preserve">Current </w:t>
            </w:r>
            <w:r w:rsidR="00B56B17">
              <w:t>FSFYC</w:t>
            </w:r>
            <w:r w:rsidR="00B56B17" w:rsidRPr="00192F77">
              <w:t xml:space="preserve"> labelling</w:t>
            </w:r>
          </w:p>
        </w:tc>
      </w:tr>
      <w:tr w:rsidR="00B56B17" w:rsidRPr="0077319A" w14:paraId="087F9404" w14:textId="77777777" w:rsidTr="00C80D06">
        <w:trPr>
          <w:trHeight w:val="772"/>
          <w:tblHeader/>
        </w:trPr>
        <w:tc>
          <w:tcPr>
            <w:tcW w:w="2457" w:type="dxa"/>
            <w:vMerge/>
            <w:tcBorders>
              <w:left w:val="single" w:sz="4" w:space="0" w:color="000000"/>
              <w:right w:val="single" w:sz="4" w:space="0" w:color="000000"/>
            </w:tcBorders>
            <w:shd w:val="clear" w:color="auto" w:fill="DBE5F1" w:themeFill="accent1" w:themeFillTint="33"/>
            <w:vAlign w:val="center"/>
          </w:tcPr>
          <w:p w14:paraId="53FB1974" w14:textId="77777777" w:rsidR="00B56B17" w:rsidRPr="00192F77" w:rsidRDefault="00B56B17" w:rsidP="00E17394">
            <w:pPr>
              <w:pStyle w:val="FSTableColumnRowheading"/>
              <w:jc w:val="center"/>
              <w:rPr>
                <w:lang w:eastAsia="en-GB"/>
              </w:rPr>
            </w:pPr>
          </w:p>
        </w:tc>
        <w:tc>
          <w:tcPr>
            <w:tcW w:w="2043" w:type="dxa"/>
            <w:vMerge/>
            <w:tcBorders>
              <w:left w:val="single" w:sz="4" w:space="0" w:color="000000"/>
              <w:right w:val="single" w:sz="4" w:space="0" w:color="000000"/>
            </w:tcBorders>
            <w:shd w:val="clear" w:color="auto" w:fill="DBE5F1" w:themeFill="accent1" w:themeFillTint="33"/>
            <w:vAlign w:val="center"/>
          </w:tcPr>
          <w:p w14:paraId="630C4AC2" w14:textId="77777777" w:rsidR="00B56B17" w:rsidRPr="00192F77" w:rsidRDefault="00B56B17" w:rsidP="00E17394">
            <w:pPr>
              <w:pStyle w:val="FSTableColumnRowheading"/>
              <w:jc w:val="center"/>
            </w:pPr>
          </w:p>
        </w:tc>
        <w:tc>
          <w:tcPr>
            <w:tcW w:w="2853" w:type="dxa"/>
            <w:tcBorders>
              <w:top w:val="single" w:sz="4" w:space="0" w:color="000000"/>
              <w:left w:val="single" w:sz="4" w:space="0" w:color="000000"/>
              <w:right w:val="single" w:sz="4" w:space="0" w:color="000000"/>
            </w:tcBorders>
            <w:shd w:val="clear" w:color="auto" w:fill="DBE5F1" w:themeFill="accent1" w:themeFillTint="33"/>
            <w:vAlign w:val="center"/>
          </w:tcPr>
          <w:p w14:paraId="699CE996" w14:textId="4CAF6CD8" w:rsidR="00B56B17" w:rsidRPr="0077319A" w:rsidRDefault="00B56B17" w:rsidP="00E17394">
            <w:pPr>
              <w:pStyle w:val="FSTableColumnRowheading"/>
              <w:jc w:val="center"/>
            </w:pPr>
            <w:r w:rsidRPr="0077319A">
              <w:t xml:space="preserve">Nutrition and Health claims </w:t>
            </w:r>
            <w:r w:rsidR="00C80D06">
              <w:t xml:space="preserve">generally </w:t>
            </w:r>
            <w:r w:rsidRPr="0077319A">
              <w:t>permitted?</w:t>
            </w:r>
          </w:p>
          <w:p w14:paraId="43BA1C06" w14:textId="318E36FD" w:rsidR="00B56B17" w:rsidRPr="0077319A" w:rsidRDefault="00C80D06" w:rsidP="00C80D06">
            <w:pPr>
              <w:pStyle w:val="FSTableColumnRowheading"/>
              <w:jc w:val="center"/>
            </w:pPr>
            <w:r>
              <w:t xml:space="preserve">Specific health claim approved for 2’-FL or LNnT? </w:t>
            </w:r>
          </w:p>
        </w:tc>
        <w:tc>
          <w:tcPr>
            <w:tcW w:w="1802" w:type="dxa"/>
            <w:tcBorders>
              <w:top w:val="single" w:sz="4" w:space="0" w:color="000000"/>
              <w:left w:val="single" w:sz="4" w:space="0" w:color="000000"/>
              <w:right w:val="single" w:sz="4" w:space="0" w:color="000000"/>
            </w:tcBorders>
            <w:shd w:val="clear" w:color="auto" w:fill="DBE5F1" w:themeFill="accent1" w:themeFillTint="33"/>
            <w:vAlign w:val="center"/>
          </w:tcPr>
          <w:p w14:paraId="55D1E7AC" w14:textId="77777777" w:rsidR="00B56B17" w:rsidRPr="0077319A" w:rsidRDefault="00B56B17" w:rsidP="00E17394">
            <w:pPr>
              <w:pStyle w:val="FSTableColumnRowheading"/>
              <w:jc w:val="center"/>
            </w:pPr>
            <w:r w:rsidRPr="0077319A">
              <w:t>Prohibition on terms like ‘humanised’</w:t>
            </w:r>
          </w:p>
        </w:tc>
        <w:tc>
          <w:tcPr>
            <w:tcW w:w="2702" w:type="dxa"/>
            <w:tcBorders>
              <w:top w:val="single" w:sz="4" w:space="0" w:color="000000"/>
              <w:left w:val="single" w:sz="4" w:space="0" w:color="000000"/>
              <w:right w:val="single" w:sz="4" w:space="0" w:color="000000"/>
            </w:tcBorders>
            <w:shd w:val="clear" w:color="auto" w:fill="DBE5F1" w:themeFill="accent1" w:themeFillTint="33"/>
            <w:vAlign w:val="center"/>
          </w:tcPr>
          <w:p w14:paraId="70B194FD" w14:textId="215EB736" w:rsidR="00B56B17" w:rsidRPr="0077319A" w:rsidRDefault="00B56B17" w:rsidP="00E17394">
            <w:pPr>
              <w:pStyle w:val="FSTableColumnRowheading"/>
              <w:jc w:val="center"/>
            </w:pPr>
            <w:r w:rsidRPr="0077319A">
              <w:t xml:space="preserve">Prohibition on comparisons to </w:t>
            </w:r>
            <w:r w:rsidR="00A9269B">
              <w:t>breast milk</w:t>
            </w:r>
          </w:p>
        </w:tc>
        <w:tc>
          <w:tcPr>
            <w:tcW w:w="2739" w:type="dxa"/>
            <w:tcBorders>
              <w:top w:val="single" w:sz="4" w:space="0" w:color="000000"/>
              <w:left w:val="single" w:sz="4" w:space="0" w:color="000000"/>
              <w:right w:val="single" w:sz="4" w:space="0" w:color="000000"/>
            </w:tcBorders>
            <w:shd w:val="clear" w:color="auto" w:fill="DBE5F1" w:themeFill="accent1" w:themeFillTint="33"/>
            <w:vAlign w:val="center"/>
          </w:tcPr>
          <w:p w14:paraId="67AD9024" w14:textId="3A1412CD" w:rsidR="00B56B17" w:rsidRPr="0077319A" w:rsidRDefault="00B56B17" w:rsidP="00E17394">
            <w:pPr>
              <w:pStyle w:val="FSTableColumnRowheading"/>
              <w:jc w:val="center"/>
            </w:pPr>
            <w:r w:rsidRPr="0077319A">
              <w:t>Specified name of ingredient?</w:t>
            </w:r>
          </w:p>
        </w:tc>
      </w:tr>
      <w:tr w:rsidR="00B56B17" w:rsidRPr="00711400" w14:paraId="03A012F5" w14:textId="77777777" w:rsidTr="00C80D06">
        <w:trPr>
          <w:trHeight w:val="313"/>
        </w:trPr>
        <w:tc>
          <w:tcPr>
            <w:tcW w:w="2457" w:type="dxa"/>
            <w:tcBorders>
              <w:top w:val="single" w:sz="4" w:space="0" w:color="000000"/>
              <w:left w:val="single" w:sz="4" w:space="0" w:color="000000"/>
              <w:right w:val="single" w:sz="4" w:space="0" w:color="000000"/>
            </w:tcBorders>
            <w:vAlign w:val="center"/>
          </w:tcPr>
          <w:p w14:paraId="215E1640" w14:textId="77777777" w:rsidR="00B56B17" w:rsidRPr="006B08EF" w:rsidRDefault="00B56B17" w:rsidP="006B08EF">
            <w:pPr>
              <w:jc w:val="center"/>
              <w:rPr>
                <w:rFonts w:asciiTheme="minorHAnsi" w:hAnsiTheme="minorHAnsi" w:cstheme="minorHAnsi"/>
                <w:sz w:val="20"/>
                <w:szCs w:val="18"/>
                <w:lang w:eastAsia="en-GB"/>
              </w:rPr>
            </w:pPr>
            <w:r w:rsidRPr="006B08EF">
              <w:rPr>
                <w:rFonts w:asciiTheme="minorHAnsi" w:hAnsiTheme="minorHAnsi" w:cstheme="minorHAnsi"/>
                <w:sz w:val="20"/>
                <w:szCs w:val="18"/>
                <w:lang w:eastAsia="en-GB"/>
              </w:rPr>
              <w:t>AU &amp; NZ</w:t>
            </w:r>
          </w:p>
        </w:tc>
        <w:tc>
          <w:tcPr>
            <w:tcW w:w="2043" w:type="dxa"/>
            <w:tcBorders>
              <w:top w:val="single" w:sz="4" w:space="0" w:color="000000"/>
              <w:left w:val="single" w:sz="4" w:space="0" w:color="000000"/>
              <w:right w:val="single" w:sz="4" w:space="0" w:color="000000"/>
            </w:tcBorders>
            <w:vAlign w:val="center"/>
          </w:tcPr>
          <w:p w14:paraId="318862F4" w14:textId="1842A015" w:rsidR="00B56B17" w:rsidRPr="0077319A" w:rsidRDefault="00B56B17" w:rsidP="006B08EF">
            <w:pPr>
              <w:jc w:val="center"/>
              <w:rPr>
                <w:sz w:val="28"/>
                <w:szCs w:val="18"/>
                <w:lang w:eastAsia="en-GB"/>
              </w:rPr>
            </w:pPr>
            <w:r w:rsidRPr="0077319A">
              <w:rPr>
                <w:sz w:val="28"/>
                <w:szCs w:val="18"/>
                <w:lang w:eastAsia="en-GB"/>
              </w:rPr>
              <w:sym w:font="Wingdings" w:char="F0FB"/>
            </w:r>
          </w:p>
        </w:tc>
        <w:tc>
          <w:tcPr>
            <w:tcW w:w="2853" w:type="dxa"/>
            <w:tcBorders>
              <w:top w:val="single" w:sz="4" w:space="0" w:color="000000"/>
              <w:left w:val="single" w:sz="4" w:space="0" w:color="000000"/>
              <w:right w:val="single" w:sz="4" w:space="0" w:color="000000"/>
            </w:tcBorders>
            <w:vAlign w:val="center"/>
          </w:tcPr>
          <w:p w14:paraId="3EF9DC80" w14:textId="663DE4EA" w:rsidR="00B56B17" w:rsidRDefault="00B56B17" w:rsidP="006B08EF">
            <w:pPr>
              <w:ind w:left="-420" w:firstLine="526"/>
              <w:jc w:val="center"/>
              <w:rPr>
                <w:sz w:val="20"/>
                <w:szCs w:val="18"/>
              </w:rPr>
            </w:pPr>
            <w:r w:rsidRPr="00711400">
              <w:rPr>
                <w:sz w:val="20"/>
                <w:szCs w:val="18"/>
              </w:rPr>
              <w:sym w:font="Wingdings" w:char="F0FC"/>
            </w:r>
          </w:p>
          <w:p w14:paraId="6F83E146" w14:textId="77777777" w:rsidR="00332901" w:rsidRDefault="00332901" w:rsidP="006B08EF">
            <w:pPr>
              <w:ind w:left="-420" w:firstLine="526"/>
              <w:jc w:val="center"/>
              <w:rPr>
                <w:sz w:val="20"/>
                <w:szCs w:val="18"/>
              </w:rPr>
            </w:pPr>
          </w:p>
          <w:p w14:paraId="5848EBFA" w14:textId="7A72BCB1" w:rsidR="00332901" w:rsidRPr="00711400" w:rsidRDefault="00332901" w:rsidP="006B08EF">
            <w:pPr>
              <w:ind w:left="-420" w:firstLine="526"/>
              <w:jc w:val="center"/>
              <w:rPr>
                <w:sz w:val="20"/>
                <w:szCs w:val="18"/>
                <w:lang w:eastAsia="en-GB"/>
              </w:rPr>
            </w:pPr>
            <w:r>
              <w:rPr>
                <w:rFonts w:asciiTheme="minorHAnsi" w:hAnsiTheme="minorHAnsi" w:cstheme="minorHAnsi"/>
                <w:sz w:val="20"/>
                <w:szCs w:val="18"/>
              </w:rPr>
              <w:sym w:font="Wingdings" w:char="F0FB"/>
            </w:r>
            <w:r>
              <w:rPr>
                <w:rFonts w:asciiTheme="minorHAnsi" w:hAnsiTheme="minorHAnsi" w:cstheme="minorHAnsi"/>
                <w:sz w:val="20"/>
                <w:szCs w:val="18"/>
              </w:rPr>
              <w:t xml:space="preserve"> No specific health claim approved </w:t>
            </w:r>
            <w:r w:rsidRPr="00E17394">
              <w:rPr>
                <w:rFonts w:asciiTheme="minorHAnsi" w:hAnsiTheme="minorHAnsi" w:cstheme="minorHAnsi"/>
                <w:sz w:val="20"/>
                <w:szCs w:val="18"/>
              </w:rPr>
              <w:t xml:space="preserve">  </w:t>
            </w:r>
          </w:p>
        </w:tc>
        <w:tc>
          <w:tcPr>
            <w:tcW w:w="1802" w:type="dxa"/>
            <w:tcBorders>
              <w:top w:val="single" w:sz="4" w:space="0" w:color="000000"/>
              <w:left w:val="single" w:sz="4" w:space="0" w:color="000000"/>
              <w:right w:val="single" w:sz="4" w:space="0" w:color="000000"/>
            </w:tcBorders>
            <w:vAlign w:val="center"/>
          </w:tcPr>
          <w:p w14:paraId="724B9E33" w14:textId="4F64D19A" w:rsidR="00B56B17" w:rsidRPr="00711400" w:rsidRDefault="00B56B17" w:rsidP="00B60E5A">
            <w:pPr>
              <w:ind w:left="-420" w:firstLine="526"/>
              <w:jc w:val="center"/>
              <w:rPr>
                <w:sz w:val="20"/>
                <w:szCs w:val="18"/>
                <w:lang w:eastAsia="en-GB"/>
              </w:rPr>
            </w:pPr>
            <w:r w:rsidRPr="0077319A">
              <w:rPr>
                <w:sz w:val="28"/>
                <w:szCs w:val="18"/>
                <w:lang w:eastAsia="en-GB"/>
              </w:rPr>
              <w:sym w:font="Wingdings" w:char="F0FB"/>
            </w:r>
          </w:p>
        </w:tc>
        <w:tc>
          <w:tcPr>
            <w:tcW w:w="2702" w:type="dxa"/>
            <w:tcBorders>
              <w:top w:val="single" w:sz="4" w:space="0" w:color="000000"/>
              <w:left w:val="single" w:sz="4" w:space="0" w:color="000000"/>
              <w:right w:val="single" w:sz="4" w:space="0" w:color="000000"/>
            </w:tcBorders>
            <w:vAlign w:val="center"/>
          </w:tcPr>
          <w:p w14:paraId="722B6611" w14:textId="2ECBE90B" w:rsidR="00B56B17" w:rsidRPr="00711400" w:rsidRDefault="00B56B17" w:rsidP="00B60E5A">
            <w:pPr>
              <w:ind w:left="-420" w:firstLine="526"/>
              <w:jc w:val="center"/>
              <w:rPr>
                <w:sz w:val="20"/>
                <w:szCs w:val="18"/>
                <w:lang w:eastAsia="en-GB"/>
              </w:rPr>
            </w:pPr>
            <w:r w:rsidRPr="0077319A">
              <w:rPr>
                <w:sz w:val="28"/>
                <w:szCs w:val="18"/>
                <w:lang w:eastAsia="en-GB"/>
              </w:rPr>
              <w:sym w:font="Wingdings" w:char="F0FB"/>
            </w:r>
            <w:r w:rsidRPr="00711400" w:rsidDel="002824E5">
              <w:rPr>
                <w:sz w:val="20"/>
                <w:szCs w:val="18"/>
              </w:rPr>
              <w:t xml:space="preserve"> </w:t>
            </w:r>
          </w:p>
        </w:tc>
        <w:tc>
          <w:tcPr>
            <w:tcW w:w="2739" w:type="dxa"/>
            <w:tcBorders>
              <w:top w:val="single" w:sz="4" w:space="0" w:color="000000"/>
              <w:left w:val="single" w:sz="4" w:space="0" w:color="000000"/>
              <w:right w:val="single" w:sz="4" w:space="0" w:color="000000"/>
            </w:tcBorders>
            <w:vAlign w:val="center"/>
          </w:tcPr>
          <w:p w14:paraId="05F7846E" w14:textId="60751621" w:rsidR="00B56B17" w:rsidRPr="00711400" w:rsidRDefault="00B56B17" w:rsidP="006B08EF">
            <w:pPr>
              <w:jc w:val="center"/>
              <w:rPr>
                <w:sz w:val="20"/>
                <w:szCs w:val="18"/>
                <w:lang w:eastAsia="en-GB"/>
              </w:rPr>
            </w:pPr>
            <w:r w:rsidRPr="00711400">
              <w:rPr>
                <w:sz w:val="20"/>
                <w:szCs w:val="18"/>
              </w:rPr>
              <w:sym w:font="Wingdings" w:char="F0FC"/>
            </w:r>
          </w:p>
        </w:tc>
      </w:tr>
      <w:tr w:rsidR="00B56B17" w:rsidRPr="00711400" w14:paraId="6C4DE68D" w14:textId="77777777" w:rsidTr="00C80D06">
        <w:trPr>
          <w:trHeight w:val="1694"/>
        </w:trPr>
        <w:tc>
          <w:tcPr>
            <w:tcW w:w="2457" w:type="dxa"/>
            <w:tcBorders>
              <w:top w:val="single" w:sz="4" w:space="0" w:color="000000"/>
              <w:left w:val="single" w:sz="4" w:space="0" w:color="000000"/>
              <w:right w:val="single" w:sz="4" w:space="0" w:color="000000"/>
            </w:tcBorders>
            <w:vAlign w:val="center"/>
            <w:hideMark/>
          </w:tcPr>
          <w:p w14:paraId="2F03EDD0" w14:textId="77777777" w:rsidR="00B56B17" w:rsidRPr="006B08EF" w:rsidRDefault="00B56B17" w:rsidP="006B08EF">
            <w:pPr>
              <w:jc w:val="center"/>
              <w:rPr>
                <w:rFonts w:asciiTheme="minorHAnsi" w:hAnsiTheme="minorHAnsi" w:cstheme="minorHAnsi"/>
                <w:sz w:val="20"/>
                <w:szCs w:val="18"/>
                <w:lang w:eastAsia="en-GB"/>
              </w:rPr>
            </w:pPr>
            <w:r w:rsidRPr="006B08EF">
              <w:rPr>
                <w:rFonts w:asciiTheme="minorHAnsi" w:hAnsiTheme="minorHAnsi" w:cstheme="minorHAnsi"/>
                <w:sz w:val="20"/>
                <w:szCs w:val="18"/>
                <w:lang w:eastAsia="en-GB"/>
              </w:rPr>
              <w:t>United States</w:t>
            </w:r>
          </w:p>
        </w:tc>
        <w:tc>
          <w:tcPr>
            <w:tcW w:w="2043" w:type="dxa"/>
            <w:tcBorders>
              <w:top w:val="single" w:sz="4" w:space="0" w:color="000000"/>
              <w:left w:val="single" w:sz="4" w:space="0" w:color="000000"/>
              <w:right w:val="single" w:sz="4" w:space="0" w:color="000000"/>
            </w:tcBorders>
            <w:vAlign w:val="center"/>
          </w:tcPr>
          <w:p w14:paraId="44C70FDE" w14:textId="61AFF0C0" w:rsidR="00B56B17" w:rsidRPr="0077319A" w:rsidRDefault="00B56B17" w:rsidP="006B08EF">
            <w:pPr>
              <w:jc w:val="center"/>
              <w:rPr>
                <w:sz w:val="28"/>
                <w:szCs w:val="18"/>
                <w:lang w:eastAsia="en-GB"/>
              </w:rPr>
            </w:pPr>
            <w:r w:rsidRPr="0077319A">
              <w:rPr>
                <w:sz w:val="28"/>
                <w:szCs w:val="18"/>
                <w:lang w:eastAsia="en-GB"/>
              </w:rPr>
              <w:sym w:font="Wingdings" w:char="F0FB"/>
            </w:r>
          </w:p>
        </w:tc>
        <w:tc>
          <w:tcPr>
            <w:tcW w:w="2853" w:type="dxa"/>
            <w:tcBorders>
              <w:top w:val="single" w:sz="4" w:space="0" w:color="000000"/>
              <w:left w:val="single" w:sz="4" w:space="0" w:color="000000"/>
              <w:right w:val="single" w:sz="4" w:space="0" w:color="000000"/>
            </w:tcBorders>
            <w:vAlign w:val="center"/>
          </w:tcPr>
          <w:p w14:paraId="23B8802E" w14:textId="101E99BB" w:rsidR="00B56B17" w:rsidRPr="006B08EF" w:rsidRDefault="00B56B17" w:rsidP="006B08EF">
            <w:pPr>
              <w:ind w:left="-420" w:firstLine="526"/>
              <w:jc w:val="center"/>
              <w:rPr>
                <w:rFonts w:asciiTheme="minorHAnsi" w:hAnsiTheme="minorHAnsi" w:cstheme="minorHAnsi"/>
                <w:sz w:val="20"/>
                <w:szCs w:val="18"/>
                <w:lang w:eastAsia="en-GB"/>
              </w:rPr>
            </w:pPr>
            <w:r w:rsidRPr="006B08EF">
              <w:rPr>
                <w:rFonts w:asciiTheme="minorHAnsi" w:hAnsiTheme="minorHAnsi" w:cstheme="minorHAnsi"/>
                <w:sz w:val="20"/>
                <w:szCs w:val="18"/>
                <w:lang w:eastAsia="en-GB"/>
              </w:rPr>
              <w:sym w:font="Wingdings" w:char="F0FC"/>
            </w:r>
          </w:p>
          <w:p w14:paraId="781A37F4" w14:textId="77777777" w:rsidR="00B56B17" w:rsidRPr="006B08EF" w:rsidRDefault="00B56B17" w:rsidP="006B08EF">
            <w:pPr>
              <w:jc w:val="center"/>
              <w:rPr>
                <w:rFonts w:asciiTheme="minorHAnsi" w:hAnsiTheme="minorHAnsi" w:cstheme="minorHAnsi"/>
                <w:sz w:val="20"/>
                <w:szCs w:val="18"/>
                <w:lang w:eastAsia="en-GB"/>
              </w:rPr>
            </w:pPr>
            <w:r w:rsidRPr="006B08EF">
              <w:rPr>
                <w:rFonts w:asciiTheme="minorHAnsi" w:hAnsiTheme="minorHAnsi" w:cstheme="minorHAnsi"/>
                <w:sz w:val="20"/>
                <w:szCs w:val="18"/>
                <w:lang w:eastAsia="en-GB"/>
              </w:rPr>
              <w:t>Nutrient claims in specified conditions</w:t>
            </w:r>
          </w:p>
          <w:p w14:paraId="20E18447" w14:textId="77777777" w:rsidR="00B56B17" w:rsidRPr="006B08EF" w:rsidRDefault="00B56B17" w:rsidP="006B08EF">
            <w:pPr>
              <w:jc w:val="center"/>
              <w:rPr>
                <w:rFonts w:asciiTheme="minorHAnsi" w:hAnsiTheme="minorHAnsi" w:cstheme="minorHAnsi"/>
                <w:sz w:val="20"/>
                <w:szCs w:val="18"/>
                <w:lang w:eastAsia="en-GB"/>
              </w:rPr>
            </w:pPr>
          </w:p>
          <w:p w14:paraId="069C5C5B" w14:textId="77777777" w:rsidR="00B56B17" w:rsidRDefault="00B56B17" w:rsidP="006B08EF">
            <w:pPr>
              <w:jc w:val="center"/>
              <w:rPr>
                <w:rFonts w:asciiTheme="minorHAnsi" w:hAnsiTheme="minorHAnsi" w:cstheme="minorHAnsi"/>
                <w:sz w:val="20"/>
                <w:szCs w:val="18"/>
                <w:lang w:eastAsia="en-GB"/>
              </w:rPr>
            </w:pPr>
            <w:r w:rsidRPr="006B08EF">
              <w:rPr>
                <w:rFonts w:asciiTheme="minorHAnsi" w:hAnsiTheme="minorHAnsi" w:cstheme="minorHAnsi"/>
                <w:sz w:val="20"/>
                <w:szCs w:val="18"/>
                <w:lang w:eastAsia="en-GB"/>
              </w:rPr>
              <w:t>Structure function claims permitted</w:t>
            </w:r>
          </w:p>
          <w:p w14:paraId="77D82F0A" w14:textId="6A0D577E" w:rsidR="00332901" w:rsidRDefault="00332901" w:rsidP="006B08EF">
            <w:pPr>
              <w:jc w:val="center"/>
              <w:rPr>
                <w:rFonts w:asciiTheme="minorHAnsi" w:hAnsiTheme="minorHAnsi" w:cstheme="minorHAnsi"/>
                <w:sz w:val="20"/>
                <w:szCs w:val="18"/>
                <w:lang w:eastAsia="en-GB"/>
              </w:rPr>
            </w:pPr>
          </w:p>
          <w:p w14:paraId="378FCA41" w14:textId="5ACA15F2" w:rsidR="00B56B17" w:rsidRPr="006B08EF" w:rsidRDefault="00332901" w:rsidP="006B08EF">
            <w:pPr>
              <w:ind w:left="-420" w:firstLine="526"/>
              <w:jc w:val="center"/>
              <w:rPr>
                <w:rFonts w:asciiTheme="minorHAnsi" w:hAnsiTheme="minorHAnsi" w:cstheme="minorHAnsi"/>
                <w:sz w:val="20"/>
                <w:szCs w:val="18"/>
                <w:lang w:eastAsia="en-GB"/>
              </w:rPr>
            </w:pPr>
            <w:r>
              <w:rPr>
                <w:rFonts w:asciiTheme="minorHAnsi" w:hAnsiTheme="minorHAnsi" w:cstheme="minorHAnsi"/>
                <w:sz w:val="20"/>
                <w:szCs w:val="18"/>
              </w:rPr>
              <w:sym w:font="Wingdings" w:char="F0FB"/>
            </w:r>
            <w:r>
              <w:rPr>
                <w:rFonts w:asciiTheme="minorHAnsi" w:hAnsiTheme="minorHAnsi" w:cstheme="minorHAnsi"/>
                <w:sz w:val="20"/>
                <w:szCs w:val="18"/>
              </w:rPr>
              <w:t xml:space="preserve"> No specific health claim approved </w:t>
            </w:r>
            <w:r w:rsidRPr="00E17394">
              <w:rPr>
                <w:rFonts w:asciiTheme="minorHAnsi" w:hAnsiTheme="minorHAnsi" w:cstheme="minorHAnsi"/>
                <w:sz w:val="20"/>
                <w:szCs w:val="18"/>
              </w:rPr>
              <w:t xml:space="preserve">  </w:t>
            </w:r>
          </w:p>
        </w:tc>
        <w:tc>
          <w:tcPr>
            <w:tcW w:w="1802" w:type="dxa"/>
            <w:tcBorders>
              <w:top w:val="single" w:sz="4" w:space="0" w:color="000000"/>
              <w:left w:val="single" w:sz="4" w:space="0" w:color="000000"/>
              <w:right w:val="single" w:sz="4" w:space="0" w:color="000000"/>
            </w:tcBorders>
            <w:vAlign w:val="center"/>
          </w:tcPr>
          <w:p w14:paraId="224EE61F" w14:textId="4AAFF7D3" w:rsidR="00B56B17" w:rsidRPr="00711400" w:rsidRDefault="00B56B17" w:rsidP="006B08EF">
            <w:pPr>
              <w:jc w:val="center"/>
              <w:rPr>
                <w:sz w:val="20"/>
                <w:szCs w:val="18"/>
                <w:lang w:eastAsia="en-GB"/>
              </w:rPr>
            </w:pPr>
            <w:r w:rsidRPr="0077319A">
              <w:rPr>
                <w:sz w:val="28"/>
                <w:szCs w:val="18"/>
                <w:lang w:eastAsia="en-GB"/>
              </w:rPr>
              <w:sym w:font="Wingdings" w:char="F0FB"/>
            </w:r>
          </w:p>
        </w:tc>
        <w:tc>
          <w:tcPr>
            <w:tcW w:w="2702" w:type="dxa"/>
            <w:tcBorders>
              <w:top w:val="single" w:sz="4" w:space="0" w:color="000000"/>
              <w:left w:val="single" w:sz="4" w:space="0" w:color="000000"/>
              <w:right w:val="single" w:sz="4" w:space="0" w:color="000000"/>
            </w:tcBorders>
            <w:vAlign w:val="center"/>
          </w:tcPr>
          <w:p w14:paraId="47DF0A2E" w14:textId="50AD7BE8" w:rsidR="00B56B17" w:rsidRPr="00711400" w:rsidRDefault="00B56B17" w:rsidP="006B08EF">
            <w:pPr>
              <w:jc w:val="center"/>
              <w:rPr>
                <w:sz w:val="20"/>
                <w:szCs w:val="18"/>
                <w:lang w:eastAsia="en-GB"/>
              </w:rPr>
            </w:pPr>
            <w:r w:rsidRPr="0077319A">
              <w:rPr>
                <w:sz w:val="28"/>
                <w:szCs w:val="18"/>
                <w:lang w:eastAsia="en-GB"/>
              </w:rPr>
              <w:sym w:font="Wingdings" w:char="F0FB"/>
            </w:r>
          </w:p>
        </w:tc>
        <w:tc>
          <w:tcPr>
            <w:tcW w:w="2739" w:type="dxa"/>
            <w:tcBorders>
              <w:top w:val="single" w:sz="4" w:space="0" w:color="000000"/>
              <w:left w:val="single" w:sz="4" w:space="0" w:color="000000"/>
              <w:right w:val="single" w:sz="4" w:space="0" w:color="000000"/>
            </w:tcBorders>
            <w:vAlign w:val="center"/>
          </w:tcPr>
          <w:p w14:paraId="52965529" w14:textId="62074C60" w:rsidR="00B56B17" w:rsidRPr="00711400" w:rsidRDefault="00B56B17" w:rsidP="006B08EF">
            <w:pPr>
              <w:jc w:val="center"/>
              <w:rPr>
                <w:sz w:val="20"/>
                <w:szCs w:val="18"/>
                <w:lang w:eastAsia="en-GB"/>
              </w:rPr>
            </w:pPr>
            <w:r>
              <w:rPr>
                <w:sz w:val="20"/>
                <w:szCs w:val="18"/>
                <w:lang w:eastAsia="en-GB"/>
              </w:rPr>
              <w:t>-</w:t>
            </w:r>
          </w:p>
        </w:tc>
      </w:tr>
      <w:tr w:rsidR="00B56B17" w14:paraId="3059F500" w14:textId="77777777" w:rsidTr="00C80D06">
        <w:trPr>
          <w:trHeight w:val="2913"/>
        </w:trPr>
        <w:tc>
          <w:tcPr>
            <w:tcW w:w="2457" w:type="dxa"/>
            <w:tcBorders>
              <w:top w:val="single" w:sz="4" w:space="0" w:color="000000"/>
              <w:left w:val="single" w:sz="4" w:space="0" w:color="000000"/>
              <w:bottom w:val="single" w:sz="4" w:space="0" w:color="000000"/>
              <w:right w:val="single" w:sz="4" w:space="0" w:color="000000"/>
            </w:tcBorders>
            <w:vAlign w:val="center"/>
          </w:tcPr>
          <w:p w14:paraId="03929534" w14:textId="634F8943" w:rsidR="00B56B17" w:rsidRPr="006B08EF" w:rsidRDefault="00B56B17" w:rsidP="006B08EF">
            <w:pPr>
              <w:jc w:val="center"/>
              <w:rPr>
                <w:rFonts w:asciiTheme="minorHAnsi" w:hAnsiTheme="minorHAnsi" w:cstheme="minorHAnsi"/>
                <w:sz w:val="20"/>
                <w:szCs w:val="18"/>
                <w:lang w:eastAsia="en-GB"/>
              </w:rPr>
            </w:pPr>
            <w:r w:rsidRPr="006B08EF">
              <w:rPr>
                <w:rFonts w:asciiTheme="minorHAnsi" w:hAnsiTheme="minorHAnsi" w:cstheme="minorHAnsi"/>
                <w:sz w:val="20"/>
                <w:szCs w:val="18"/>
                <w:lang w:eastAsia="en-GB"/>
              </w:rPr>
              <w:t>Canada</w:t>
            </w:r>
          </w:p>
        </w:tc>
        <w:tc>
          <w:tcPr>
            <w:tcW w:w="2043" w:type="dxa"/>
            <w:tcBorders>
              <w:top w:val="single" w:sz="4" w:space="0" w:color="000000"/>
              <w:left w:val="single" w:sz="4" w:space="0" w:color="000000"/>
              <w:bottom w:val="single" w:sz="4" w:space="0" w:color="000000"/>
              <w:right w:val="single" w:sz="4" w:space="0" w:color="000000"/>
            </w:tcBorders>
            <w:vAlign w:val="center"/>
          </w:tcPr>
          <w:p w14:paraId="2972A79C" w14:textId="77777777" w:rsidR="00B56B17" w:rsidRPr="00711400" w:rsidRDefault="00B56B17" w:rsidP="006B08EF">
            <w:pPr>
              <w:jc w:val="center"/>
              <w:rPr>
                <w:sz w:val="20"/>
                <w:szCs w:val="18"/>
              </w:rPr>
            </w:pPr>
            <w:r w:rsidRPr="00711400">
              <w:rPr>
                <w:sz w:val="20"/>
                <w:szCs w:val="18"/>
              </w:rPr>
              <w:sym w:font="Wingdings" w:char="F0FC"/>
            </w:r>
          </w:p>
        </w:tc>
        <w:tc>
          <w:tcPr>
            <w:tcW w:w="2853" w:type="dxa"/>
            <w:tcBorders>
              <w:top w:val="single" w:sz="4" w:space="0" w:color="000000"/>
              <w:left w:val="single" w:sz="4" w:space="0" w:color="000000"/>
              <w:bottom w:val="single" w:sz="4" w:space="0" w:color="000000"/>
              <w:right w:val="single" w:sz="4" w:space="0" w:color="000000"/>
            </w:tcBorders>
            <w:vAlign w:val="center"/>
          </w:tcPr>
          <w:p w14:paraId="2E94DC99" w14:textId="6B0B1BCC" w:rsidR="00B56B17" w:rsidRPr="006B08EF" w:rsidRDefault="00B56B17" w:rsidP="006B08EF">
            <w:pPr>
              <w:ind w:firstLine="30"/>
              <w:jc w:val="center"/>
              <w:rPr>
                <w:rFonts w:asciiTheme="minorHAnsi" w:hAnsiTheme="minorHAnsi" w:cstheme="minorHAnsi"/>
                <w:sz w:val="20"/>
                <w:szCs w:val="18"/>
              </w:rPr>
            </w:pPr>
            <w:r w:rsidRPr="006B08EF">
              <w:rPr>
                <w:rFonts w:asciiTheme="minorHAnsi" w:hAnsiTheme="minorHAnsi" w:cstheme="minorHAnsi"/>
                <w:sz w:val="20"/>
                <w:szCs w:val="18"/>
              </w:rPr>
              <w:sym w:font="Wingdings" w:char="F0FC"/>
            </w:r>
          </w:p>
          <w:p w14:paraId="1FDF93A7" w14:textId="77777777" w:rsidR="00B56B17" w:rsidRPr="006B08EF" w:rsidRDefault="00B56B17" w:rsidP="006B08EF">
            <w:pPr>
              <w:ind w:firstLine="30"/>
              <w:jc w:val="center"/>
              <w:rPr>
                <w:rFonts w:asciiTheme="minorHAnsi" w:hAnsiTheme="minorHAnsi" w:cstheme="minorHAnsi"/>
                <w:sz w:val="20"/>
                <w:szCs w:val="18"/>
              </w:rPr>
            </w:pPr>
            <w:r w:rsidRPr="006B08EF">
              <w:rPr>
                <w:rFonts w:asciiTheme="minorHAnsi" w:hAnsiTheme="minorHAnsi" w:cstheme="minorHAnsi"/>
                <w:sz w:val="20"/>
                <w:szCs w:val="18"/>
              </w:rPr>
              <w:t>Limited number of nutrient content claims, to highlight differences in formulas not to suggest superiority</w:t>
            </w:r>
          </w:p>
          <w:p w14:paraId="5F303EBD" w14:textId="77777777" w:rsidR="00B56B17" w:rsidRPr="006B08EF" w:rsidRDefault="00B56B17" w:rsidP="006B08EF">
            <w:pPr>
              <w:ind w:firstLine="30"/>
              <w:jc w:val="center"/>
              <w:rPr>
                <w:rFonts w:asciiTheme="minorHAnsi" w:hAnsiTheme="minorHAnsi" w:cstheme="minorHAnsi"/>
                <w:sz w:val="20"/>
                <w:szCs w:val="18"/>
              </w:rPr>
            </w:pPr>
          </w:p>
          <w:p w14:paraId="07CE2077" w14:textId="77777777" w:rsidR="00B56B17" w:rsidRDefault="00B56B17" w:rsidP="006B08EF">
            <w:pPr>
              <w:ind w:firstLine="30"/>
              <w:jc w:val="center"/>
              <w:rPr>
                <w:rFonts w:asciiTheme="minorHAnsi" w:hAnsiTheme="minorHAnsi" w:cstheme="minorHAnsi"/>
                <w:sz w:val="20"/>
                <w:szCs w:val="18"/>
              </w:rPr>
            </w:pPr>
            <w:r w:rsidRPr="006B08EF">
              <w:rPr>
                <w:rFonts w:asciiTheme="minorHAnsi" w:hAnsiTheme="minorHAnsi" w:cstheme="minorHAnsi"/>
                <w:sz w:val="20"/>
                <w:szCs w:val="18"/>
              </w:rPr>
              <w:t>It is inappropriate and misleading to use nutrient content claims to suggest that one infant formula is superior to another based on its nutrient content</w:t>
            </w:r>
          </w:p>
          <w:p w14:paraId="17B1B64B" w14:textId="77777777" w:rsidR="00332901" w:rsidRDefault="00332901" w:rsidP="006B08EF">
            <w:pPr>
              <w:ind w:firstLine="30"/>
              <w:jc w:val="center"/>
              <w:rPr>
                <w:rFonts w:asciiTheme="minorHAnsi" w:hAnsiTheme="minorHAnsi" w:cstheme="minorHAnsi"/>
                <w:sz w:val="20"/>
                <w:szCs w:val="18"/>
              </w:rPr>
            </w:pPr>
          </w:p>
          <w:p w14:paraId="58E3C707" w14:textId="1102F1A8" w:rsidR="00332901" w:rsidRPr="006B08EF" w:rsidRDefault="00332901" w:rsidP="006B08EF">
            <w:pPr>
              <w:ind w:firstLine="30"/>
              <w:jc w:val="center"/>
              <w:rPr>
                <w:rFonts w:asciiTheme="minorHAnsi" w:hAnsiTheme="minorHAnsi" w:cstheme="minorHAnsi"/>
                <w:sz w:val="20"/>
                <w:szCs w:val="18"/>
              </w:rPr>
            </w:pPr>
            <w:r>
              <w:rPr>
                <w:rFonts w:asciiTheme="minorHAnsi" w:hAnsiTheme="minorHAnsi" w:cstheme="minorHAnsi"/>
                <w:sz w:val="20"/>
                <w:szCs w:val="18"/>
              </w:rPr>
              <w:sym w:font="Wingdings" w:char="F0FB"/>
            </w:r>
            <w:r>
              <w:rPr>
                <w:rFonts w:asciiTheme="minorHAnsi" w:hAnsiTheme="minorHAnsi" w:cstheme="minorHAnsi"/>
                <w:sz w:val="20"/>
                <w:szCs w:val="18"/>
              </w:rPr>
              <w:t xml:space="preserve"> No specific health claim approved </w:t>
            </w:r>
            <w:r w:rsidRPr="00E17394">
              <w:rPr>
                <w:rFonts w:asciiTheme="minorHAnsi" w:hAnsiTheme="minorHAnsi" w:cstheme="minorHAnsi"/>
                <w:sz w:val="20"/>
                <w:szCs w:val="18"/>
              </w:rPr>
              <w:t xml:space="preserve">  </w:t>
            </w:r>
          </w:p>
        </w:tc>
        <w:tc>
          <w:tcPr>
            <w:tcW w:w="1802" w:type="dxa"/>
            <w:tcBorders>
              <w:top w:val="single" w:sz="4" w:space="0" w:color="000000"/>
              <w:left w:val="single" w:sz="4" w:space="0" w:color="000000"/>
              <w:bottom w:val="single" w:sz="4" w:space="0" w:color="000000"/>
              <w:right w:val="single" w:sz="4" w:space="0" w:color="000000"/>
            </w:tcBorders>
            <w:vAlign w:val="center"/>
          </w:tcPr>
          <w:p w14:paraId="355746BD" w14:textId="609280EF" w:rsidR="00B56B17" w:rsidRPr="00711400" w:rsidRDefault="00B56B17" w:rsidP="006B08EF">
            <w:pPr>
              <w:jc w:val="center"/>
              <w:rPr>
                <w:sz w:val="20"/>
                <w:szCs w:val="18"/>
              </w:rPr>
            </w:pPr>
            <w:r w:rsidRPr="0077319A">
              <w:rPr>
                <w:sz w:val="28"/>
                <w:szCs w:val="18"/>
                <w:lang w:eastAsia="en-GB"/>
              </w:rPr>
              <w:sym w:font="Wingdings" w:char="F0FB"/>
            </w:r>
          </w:p>
        </w:tc>
        <w:tc>
          <w:tcPr>
            <w:tcW w:w="2702" w:type="dxa"/>
            <w:tcBorders>
              <w:top w:val="single" w:sz="4" w:space="0" w:color="000000"/>
              <w:left w:val="single" w:sz="4" w:space="0" w:color="000000"/>
              <w:bottom w:val="single" w:sz="4" w:space="0" w:color="000000"/>
              <w:right w:val="single" w:sz="4" w:space="0" w:color="000000"/>
            </w:tcBorders>
            <w:vAlign w:val="center"/>
          </w:tcPr>
          <w:p w14:paraId="1B42812F" w14:textId="77777777" w:rsidR="00B56B17" w:rsidRDefault="00B56B17" w:rsidP="006B08EF">
            <w:pPr>
              <w:jc w:val="center"/>
              <w:rPr>
                <w:sz w:val="20"/>
                <w:szCs w:val="18"/>
              </w:rPr>
            </w:pPr>
            <w:r w:rsidRPr="00711400">
              <w:rPr>
                <w:sz w:val="20"/>
                <w:szCs w:val="18"/>
              </w:rPr>
              <w:sym w:font="Wingdings" w:char="F0FC"/>
            </w:r>
          </w:p>
          <w:p w14:paraId="1D418FA9" w14:textId="2CBDF618" w:rsidR="00B56B17" w:rsidRPr="006B08EF" w:rsidRDefault="00B56B17" w:rsidP="006B08EF">
            <w:pPr>
              <w:jc w:val="center"/>
              <w:rPr>
                <w:rFonts w:asciiTheme="minorHAnsi" w:hAnsiTheme="minorHAnsi" w:cstheme="minorHAnsi"/>
                <w:sz w:val="20"/>
                <w:szCs w:val="18"/>
              </w:rPr>
            </w:pPr>
            <w:r w:rsidRPr="006B08EF">
              <w:rPr>
                <w:rFonts w:asciiTheme="minorHAnsi" w:hAnsiTheme="minorHAnsi" w:cstheme="minorHAnsi"/>
                <w:sz w:val="20"/>
                <w:szCs w:val="18"/>
              </w:rPr>
              <w:t xml:space="preserve">No references to </w:t>
            </w:r>
            <w:r w:rsidR="00A9269B">
              <w:rPr>
                <w:rFonts w:asciiTheme="minorHAnsi" w:hAnsiTheme="minorHAnsi" w:cstheme="minorHAnsi"/>
                <w:sz w:val="20"/>
                <w:szCs w:val="18"/>
              </w:rPr>
              <w:t>breast milk</w:t>
            </w:r>
          </w:p>
          <w:p w14:paraId="77310C73" w14:textId="77777777" w:rsidR="00B56B17" w:rsidRPr="006B08EF" w:rsidRDefault="00B56B17" w:rsidP="006B08EF">
            <w:pPr>
              <w:jc w:val="center"/>
              <w:rPr>
                <w:rFonts w:asciiTheme="minorHAnsi" w:hAnsiTheme="minorHAnsi" w:cstheme="minorHAnsi"/>
                <w:sz w:val="20"/>
                <w:szCs w:val="18"/>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2FB7919D" w14:textId="48E5989F" w:rsidR="00B56B17" w:rsidRDefault="00B56B17" w:rsidP="006B08EF">
            <w:pPr>
              <w:jc w:val="center"/>
              <w:rPr>
                <w:sz w:val="20"/>
                <w:szCs w:val="18"/>
              </w:rPr>
            </w:pPr>
            <w:r>
              <w:rPr>
                <w:sz w:val="20"/>
                <w:szCs w:val="18"/>
              </w:rPr>
              <w:t>-</w:t>
            </w:r>
          </w:p>
        </w:tc>
      </w:tr>
      <w:tr w:rsidR="00B56B17" w14:paraId="5146C11E" w14:textId="77777777" w:rsidTr="00C80D06">
        <w:trPr>
          <w:trHeight w:val="982"/>
        </w:trPr>
        <w:tc>
          <w:tcPr>
            <w:tcW w:w="2457" w:type="dxa"/>
            <w:tcBorders>
              <w:top w:val="single" w:sz="4" w:space="0" w:color="000000"/>
              <w:left w:val="single" w:sz="4" w:space="0" w:color="000000"/>
              <w:bottom w:val="single" w:sz="4" w:space="0" w:color="000000"/>
              <w:right w:val="single" w:sz="4" w:space="0" w:color="000000"/>
            </w:tcBorders>
            <w:vAlign w:val="center"/>
          </w:tcPr>
          <w:p w14:paraId="2E0DE033" w14:textId="6A06EB02" w:rsidR="00B56B17" w:rsidRPr="006B08EF" w:rsidRDefault="00B56B17" w:rsidP="006B08EF">
            <w:pPr>
              <w:jc w:val="center"/>
              <w:rPr>
                <w:rFonts w:asciiTheme="minorHAnsi" w:hAnsiTheme="minorHAnsi" w:cstheme="minorHAnsi"/>
                <w:b/>
                <w:sz w:val="20"/>
                <w:szCs w:val="18"/>
                <w:lang w:eastAsia="en-GB"/>
              </w:rPr>
            </w:pPr>
            <w:r w:rsidRPr="006B08EF">
              <w:rPr>
                <w:rFonts w:asciiTheme="minorHAnsi" w:hAnsiTheme="minorHAnsi" w:cstheme="minorHAnsi"/>
                <w:sz w:val="20"/>
                <w:szCs w:val="18"/>
              </w:rPr>
              <w:t>European Union</w:t>
            </w:r>
          </w:p>
        </w:tc>
        <w:tc>
          <w:tcPr>
            <w:tcW w:w="2043" w:type="dxa"/>
            <w:tcBorders>
              <w:top w:val="single" w:sz="4" w:space="0" w:color="000000"/>
              <w:left w:val="single" w:sz="4" w:space="0" w:color="000000"/>
              <w:bottom w:val="single" w:sz="4" w:space="0" w:color="000000"/>
              <w:right w:val="single" w:sz="4" w:space="0" w:color="000000"/>
            </w:tcBorders>
            <w:vAlign w:val="center"/>
          </w:tcPr>
          <w:p w14:paraId="655ED752" w14:textId="735B1D02" w:rsidR="00B56B17" w:rsidRPr="00711400" w:rsidRDefault="00B56B17" w:rsidP="006B08EF">
            <w:pPr>
              <w:jc w:val="center"/>
              <w:rPr>
                <w:sz w:val="20"/>
                <w:szCs w:val="18"/>
              </w:rPr>
            </w:pPr>
            <w:r w:rsidRPr="0077319A">
              <w:rPr>
                <w:sz w:val="28"/>
                <w:szCs w:val="18"/>
                <w:lang w:eastAsia="en-GB"/>
              </w:rPr>
              <w:sym w:font="Wingdings" w:char="F0FB"/>
            </w:r>
          </w:p>
        </w:tc>
        <w:tc>
          <w:tcPr>
            <w:tcW w:w="2853" w:type="dxa"/>
            <w:tcBorders>
              <w:top w:val="single" w:sz="4" w:space="0" w:color="000000"/>
              <w:left w:val="single" w:sz="4" w:space="0" w:color="000000"/>
              <w:bottom w:val="single" w:sz="4" w:space="0" w:color="000000"/>
              <w:right w:val="single" w:sz="4" w:space="0" w:color="000000"/>
            </w:tcBorders>
            <w:vAlign w:val="center"/>
          </w:tcPr>
          <w:p w14:paraId="3AD7E7AC" w14:textId="77777777" w:rsidR="00B56B17" w:rsidRDefault="00B56B17" w:rsidP="006B08EF">
            <w:pPr>
              <w:ind w:firstLine="30"/>
              <w:jc w:val="center"/>
              <w:rPr>
                <w:sz w:val="20"/>
                <w:szCs w:val="18"/>
                <w:lang w:eastAsia="en-GB"/>
              </w:rPr>
            </w:pPr>
            <w:r w:rsidRPr="00711400">
              <w:rPr>
                <w:sz w:val="20"/>
                <w:szCs w:val="18"/>
                <w:lang w:eastAsia="en-GB"/>
              </w:rPr>
              <w:sym w:font="Wingdings" w:char="F0FC"/>
            </w:r>
          </w:p>
          <w:p w14:paraId="06A11994" w14:textId="77777777" w:rsidR="00332901" w:rsidRDefault="00332901" w:rsidP="006B08EF">
            <w:pPr>
              <w:ind w:firstLine="30"/>
              <w:jc w:val="center"/>
              <w:rPr>
                <w:sz w:val="20"/>
                <w:szCs w:val="18"/>
                <w:lang w:eastAsia="en-GB"/>
              </w:rPr>
            </w:pPr>
          </w:p>
          <w:p w14:paraId="027759FB" w14:textId="0AA5F039" w:rsidR="00332901" w:rsidRPr="00711400" w:rsidRDefault="00332901" w:rsidP="006B08EF">
            <w:pPr>
              <w:ind w:firstLine="30"/>
              <w:jc w:val="center"/>
              <w:rPr>
                <w:sz w:val="20"/>
                <w:szCs w:val="18"/>
              </w:rPr>
            </w:pPr>
            <w:r>
              <w:rPr>
                <w:rFonts w:asciiTheme="minorHAnsi" w:hAnsiTheme="minorHAnsi" w:cstheme="minorHAnsi"/>
                <w:sz w:val="20"/>
                <w:szCs w:val="18"/>
              </w:rPr>
              <w:sym w:font="Wingdings" w:char="F0FB"/>
            </w:r>
            <w:r>
              <w:rPr>
                <w:rFonts w:asciiTheme="minorHAnsi" w:hAnsiTheme="minorHAnsi" w:cstheme="minorHAnsi"/>
                <w:sz w:val="20"/>
                <w:szCs w:val="18"/>
              </w:rPr>
              <w:t xml:space="preserve"> No specific health claim approved </w:t>
            </w:r>
            <w:r w:rsidRPr="00E17394">
              <w:rPr>
                <w:rFonts w:asciiTheme="minorHAnsi" w:hAnsiTheme="minorHAnsi" w:cstheme="minorHAnsi"/>
                <w:sz w:val="20"/>
                <w:szCs w:val="18"/>
              </w:rPr>
              <w:t xml:space="preserve">  </w:t>
            </w:r>
          </w:p>
        </w:tc>
        <w:tc>
          <w:tcPr>
            <w:tcW w:w="1802" w:type="dxa"/>
            <w:tcBorders>
              <w:top w:val="single" w:sz="4" w:space="0" w:color="000000"/>
              <w:left w:val="single" w:sz="4" w:space="0" w:color="000000"/>
              <w:bottom w:val="single" w:sz="4" w:space="0" w:color="000000"/>
              <w:right w:val="single" w:sz="4" w:space="0" w:color="000000"/>
            </w:tcBorders>
            <w:vAlign w:val="center"/>
          </w:tcPr>
          <w:p w14:paraId="37C3A8F5" w14:textId="00E638F7" w:rsidR="00B56B17" w:rsidRDefault="00B56B17" w:rsidP="00B60E5A">
            <w:pPr>
              <w:ind w:left="-420" w:firstLine="526"/>
              <w:jc w:val="center"/>
              <w:rPr>
                <w:sz w:val="20"/>
                <w:szCs w:val="18"/>
              </w:rPr>
            </w:pPr>
            <w:r w:rsidRPr="00711400">
              <w:rPr>
                <w:sz w:val="20"/>
                <w:szCs w:val="18"/>
              </w:rPr>
              <w:sym w:font="Wingdings" w:char="F0FC"/>
            </w:r>
          </w:p>
        </w:tc>
        <w:tc>
          <w:tcPr>
            <w:tcW w:w="2702" w:type="dxa"/>
            <w:tcBorders>
              <w:top w:val="single" w:sz="4" w:space="0" w:color="000000"/>
              <w:left w:val="single" w:sz="4" w:space="0" w:color="000000"/>
              <w:bottom w:val="single" w:sz="4" w:space="0" w:color="000000"/>
              <w:right w:val="single" w:sz="4" w:space="0" w:color="000000"/>
            </w:tcBorders>
            <w:vAlign w:val="center"/>
          </w:tcPr>
          <w:p w14:paraId="68359060" w14:textId="3DB9522D" w:rsidR="00B56B17" w:rsidRPr="006B08EF" w:rsidRDefault="00B56B17" w:rsidP="00B60E5A">
            <w:pPr>
              <w:jc w:val="center"/>
              <w:rPr>
                <w:rFonts w:asciiTheme="minorHAnsi" w:hAnsiTheme="minorHAnsi" w:cstheme="minorHAnsi"/>
                <w:sz w:val="20"/>
                <w:szCs w:val="18"/>
              </w:rPr>
            </w:pPr>
            <w:r w:rsidRPr="00711400">
              <w:rPr>
                <w:sz w:val="20"/>
                <w:szCs w:val="18"/>
              </w:rPr>
              <w:sym w:font="Wingdings" w:char="F0FC"/>
            </w:r>
          </w:p>
        </w:tc>
        <w:tc>
          <w:tcPr>
            <w:tcW w:w="2739" w:type="dxa"/>
            <w:tcBorders>
              <w:top w:val="single" w:sz="4" w:space="0" w:color="000000"/>
              <w:left w:val="single" w:sz="4" w:space="0" w:color="000000"/>
              <w:bottom w:val="single" w:sz="4" w:space="0" w:color="000000"/>
              <w:right w:val="single" w:sz="4" w:space="0" w:color="000000"/>
            </w:tcBorders>
            <w:vAlign w:val="center"/>
          </w:tcPr>
          <w:p w14:paraId="69F0ADC1" w14:textId="389F01DC" w:rsidR="00B56B17" w:rsidRDefault="00B56B17" w:rsidP="006B08EF">
            <w:pPr>
              <w:jc w:val="center"/>
              <w:rPr>
                <w:sz w:val="20"/>
                <w:szCs w:val="18"/>
              </w:rPr>
            </w:pPr>
            <w:r w:rsidRPr="006B08EF">
              <w:rPr>
                <w:rFonts w:asciiTheme="minorHAnsi" w:hAnsiTheme="minorHAnsi" w:cstheme="minorHAnsi"/>
                <w:sz w:val="20"/>
                <w:szCs w:val="18"/>
                <w:lang w:eastAsia="en-GB"/>
              </w:rPr>
              <w:t>The novel food regulation specifies a prescribed name for both 2′Fl and LNnT</w:t>
            </w:r>
          </w:p>
        </w:tc>
      </w:tr>
      <w:tr w:rsidR="00B56B17" w14:paraId="2CEC983A" w14:textId="77777777" w:rsidTr="00C80D06">
        <w:trPr>
          <w:cantSplit/>
          <w:trHeight w:val="2201"/>
        </w:trPr>
        <w:tc>
          <w:tcPr>
            <w:tcW w:w="2457" w:type="dxa"/>
            <w:tcBorders>
              <w:top w:val="single" w:sz="4" w:space="0" w:color="000000"/>
              <w:left w:val="single" w:sz="4" w:space="0" w:color="000000"/>
              <w:bottom w:val="single" w:sz="4" w:space="0" w:color="000000"/>
              <w:right w:val="single" w:sz="4" w:space="0" w:color="000000"/>
            </w:tcBorders>
            <w:vAlign w:val="center"/>
          </w:tcPr>
          <w:p w14:paraId="267291DB" w14:textId="77777777" w:rsidR="00B56B17" w:rsidRPr="006B08EF" w:rsidRDefault="00B56B17" w:rsidP="006B08EF">
            <w:pPr>
              <w:jc w:val="center"/>
              <w:rPr>
                <w:rFonts w:asciiTheme="minorHAnsi" w:hAnsiTheme="minorHAnsi" w:cstheme="minorHAnsi"/>
                <w:b/>
                <w:sz w:val="20"/>
                <w:szCs w:val="18"/>
                <w:lang w:eastAsia="en-GB"/>
              </w:rPr>
            </w:pPr>
            <w:r w:rsidRPr="006B08EF">
              <w:rPr>
                <w:rFonts w:asciiTheme="minorHAnsi" w:hAnsiTheme="minorHAnsi" w:cstheme="minorHAnsi"/>
                <w:sz w:val="20"/>
                <w:szCs w:val="18"/>
              </w:rPr>
              <w:t>Singapore</w:t>
            </w:r>
          </w:p>
          <w:p w14:paraId="045B1AAE" w14:textId="77777777" w:rsidR="00B56B17" w:rsidRPr="006B08EF" w:rsidRDefault="00B56B17" w:rsidP="006B08EF">
            <w:pPr>
              <w:jc w:val="center"/>
              <w:rPr>
                <w:rFonts w:asciiTheme="minorHAnsi" w:hAnsiTheme="minorHAnsi" w:cstheme="minorHAnsi"/>
                <w:b/>
                <w:sz w:val="20"/>
                <w:szCs w:val="18"/>
                <w:lang w:eastAsia="en-GB"/>
              </w:rPr>
            </w:pPr>
          </w:p>
        </w:tc>
        <w:tc>
          <w:tcPr>
            <w:tcW w:w="2043" w:type="dxa"/>
            <w:tcBorders>
              <w:top w:val="single" w:sz="4" w:space="0" w:color="000000"/>
              <w:left w:val="single" w:sz="4" w:space="0" w:color="000000"/>
              <w:bottom w:val="single" w:sz="4" w:space="0" w:color="000000"/>
              <w:right w:val="single" w:sz="4" w:space="0" w:color="000000"/>
            </w:tcBorders>
            <w:vAlign w:val="center"/>
          </w:tcPr>
          <w:p w14:paraId="361B4547" w14:textId="1CAE2FDE" w:rsidR="00B56B17" w:rsidRPr="00711400" w:rsidRDefault="00B56B17" w:rsidP="006B08EF">
            <w:pPr>
              <w:jc w:val="center"/>
              <w:rPr>
                <w:sz w:val="20"/>
                <w:szCs w:val="18"/>
              </w:rPr>
            </w:pPr>
            <w:r w:rsidRPr="00711400">
              <w:rPr>
                <w:sz w:val="20"/>
                <w:szCs w:val="18"/>
              </w:rPr>
              <w:sym w:font="Wingdings" w:char="F0FC"/>
            </w:r>
          </w:p>
        </w:tc>
        <w:tc>
          <w:tcPr>
            <w:tcW w:w="2853" w:type="dxa"/>
            <w:tcBorders>
              <w:top w:val="single" w:sz="4" w:space="0" w:color="000000"/>
              <w:left w:val="single" w:sz="4" w:space="0" w:color="000000"/>
              <w:bottom w:val="single" w:sz="4" w:space="0" w:color="000000"/>
              <w:right w:val="single" w:sz="4" w:space="0" w:color="000000"/>
            </w:tcBorders>
            <w:vAlign w:val="center"/>
          </w:tcPr>
          <w:p w14:paraId="7ACB5951" w14:textId="2257D1A6" w:rsidR="00B56B17" w:rsidRDefault="00B56B17" w:rsidP="006B08EF">
            <w:pPr>
              <w:jc w:val="center"/>
              <w:rPr>
                <w:rFonts w:asciiTheme="minorHAnsi" w:hAnsiTheme="minorHAnsi" w:cstheme="minorHAnsi"/>
                <w:sz w:val="20"/>
                <w:szCs w:val="18"/>
              </w:rPr>
            </w:pPr>
            <w:r w:rsidRPr="00711400">
              <w:rPr>
                <w:sz w:val="20"/>
                <w:szCs w:val="18"/>
              </w:rPr>
              <w:sym w:font="Wingdings" w:char="F0FC"/>
            </w:r>
            <w:r w:rsidRPr="00711400">
              <w:rPr>
                <w:rFonts w:asciiTheme="minorHAnsi" w:hAnsiTheme="minorHAnsi" w:cstheme="minorHAnsi"/>
                <w:sz w:val="20"/>
                <w:szCs w:val="18"/>
              </w:rPr>
              <w:t xml:space="preserve"> ingredient claims using correct scientific name or acronym (e.g. GOS, DHA) but cannot imply that the formula is enriched, fortified or is </w:t>
            </w:r>
            <w:r>
              <w:rPr>
                <w:rFonts w:asciiTheme="minorHAnsi" w:hAnsiTheme="minorHAnsi" w:cstheme="minorHAnsi"/>
                <w:sz w:val="20"/>
                <w:szCs w:val="18"/>
              </w:rPr>
              <w:t>an excellent source in any way</w:t>
            </w:r>
            <w:r w:rsidRPr="00711400">
              <w:rPr>
                <w:rFonts w:asciiTheme="minorHAnsi" w:hAnsiTheme="minorHAnsi" w:cstheme="minorHAnsi"/>
                <w:sz w:val="20"/>
                <w:szCs w:val="18"/>
              </w:rPr>
              <w:t>.</w:t>
            </w:r>
          </w:p>
          <w:p w14:paraId="6B56E5BE" w14:textId="77777777" w:rsidR="00B56B17" w:rsidRDefault="00B56B17" w:rsidP="006B08EF">
            <w:pPr>
              <w:jc w:val="center"/>
              <w:rPr>
                <w:rFonts w:asciiTheme="minorHAnsi" w:hAnsiTheme="minorHAnsi" w:cstheme="minorHAnsi"/>
                <w:sz w:val="20"/>
                <w:szCs w:val="18"/>
              </w:rPr>
            </w:pPr>
            <w:r w:rsidRPr="00711400">
              <w:rPr>
                <w:rFonts w:asciiTheme="minorHAnsi" w:hAnsiTheme="minorHAnsi" w:cstheme="minorHAnsi"/>
                <w:sz w:val="20"/>
                <w:szCs w:val="18"/>
              </w:rPr>
              <w:t xml:space="preserve"> </w:t>
            </w:r>
            <w:r w:rsidRPr="00711400">
              <w:rPr>
                <w:sz w:val="20"/>
                <w:szCs w:val="18"/>
              </w:rPr>
              <w:sym w:font="Wingdings" w:char="F0FC"/>
            </w:r>
            <w:r w:rsidRPr="00711400">
              <w:rPr>
                <w:rFonts w:asciiTheme="minorHAnsi" w:hAnsiTheme="minorHAnsi" w:cstheme="minorHAnsi"/>
                <w:sz w:val="20"/>
                <w:szCs w:val="18"/>
              </w:rPr>
              <w:t xml:space="preserve">Approved </w:t>
            </w:r>
            <w:r>
              <w:rPr>
                <w:rFonts w:asciiTheme="minorHAnsi" w:hAnsiTheme="minorHAnsi" w:cstheme="minorHAnsi"/>
                <w:sz w:val="20"/>
                <w:szCs w:val="18"/>
              </w:rPr>
              <w:t xml:space="preserve">health effect </w:t>
            </w:r>
            <w:r w:rsidRPr="00711400">
              <w:rPr>
                <w:rFonts w:asciiTheme="minorHAnsi" w:hAnsiTheme="minorHAnsi" w:cstheme="minorHAnsi"/>
                <w:sz w:val="20"/>
                <w:szCs w:val="18"/>
              </w:rPr>
              <w:t>claims</w:t>
            </w:r>
            <w:r>
              <w:rPr>
                <w:rFonts w:asciiTheme="minorHAnsi" w:hAnsiTheme="minorHAnsi" w:cstheme="minorHAnsi"/>
                <w:sz w:val="20"/>
                <w:szCs w:val="18"/>
              </w:rPr>
              <w:t xml:space="preserve"> - claims must not in any</w:t>
            </w:r>
            <w:r w:rsidRPr="00711400">
              <w:rPr>
                <w:rFonts w:asciiTheme="minorHAnsi" w:hAnsiTheme="minorHAnsi" w:cstheme="minorHAnsi"/>
                <w:sz w:val="20"/>
                <w:szCs w:val="18"/>
              </w:rPr>
              <w:t>way, relate to infants</w:t>
            </w:r>
          </w:p>
          <w:p w14:paraId="796336EA" w14:textId="77777777" w:rsidR="00332901" w:rsidRDefault="00332901" w:rsidP="006B08EF">
            <w:pPr>
              <w:jc w:val="center"/>
              <w:rPr>
                <w:rFonts w:asciiTheme="minorHAnsi" w:hAnsiTheme="minorHAnsi" w:cstheme="minorHAnsi"/>
                <w:sz w:val="20"/>
                <w:szCs w:val="18"/>
              </w:rPr>
            </w:pPr>
          </w:p>
          <w:p w14:paraId="4F3D73E2" w14:textId="039509A8" w:rsidR="00332901" w:rsidRPr="00711400" w:rsidRDefault="00332901" w:rsidP="006B08EF">
            <w:pPr>
              <w:jc w:val="center"/>
              <w:rPr>
                <w:sz w:val="20"/>
                <w:szCs w:val="18"/>
              </w:rPr>
            </w:pPr>
            <w:r>
              <w:rPr>
                <w:rFonts w:asciiTheme="minorHAnsi" w:hAnsiTheme="minorHAnsi" w:cstheme="minorHAnsi"/>
                <w:sz w:val="20"/>
                <w:szCs w:val="18"/>
              </w:rPr>
              <w:sym w:font="Wingdings" w:char="F0FB"/>
            </w:r>
            <w:r>
              <w:rPr>
                <w:rFonts w:asciiTheme="minorHAnsi" w:hAnsiTheme="minorHAnsi" w:cstheme="minorHAnsi"/>
                <w:sz w:val="20"/>
                <w:szCs w:val="18"/>
              </w:rPr>
              <w:t xml:space="preserve">No specific health claim approved </w:t>
            </w:r>
            <w:r w:rsidRPr="00E17394">
              <w:rPr>
                <w:rFonts w:asciiTheme="minorHAnsi" w:hAnsiTheme="minorHAnsi" w:cstheme="minorHAnsi"/>
                <w:sz w:val="20"/>
                <w:szCs w:val="18"/>
              </w:rPr>
              <w:t xml:space="preserve">  </w:t>
            </w:r>
          </w:p>
        </w:tc>
        <w:tc>
          <w:tcPr>
            <w:tcW w:w="1802" w:type="dxa"/>
            <w:tcBorders>
              <w:top w:val="single" w:sz="4" w:space="0" w:color="000000"/>
              <w:left w:val="single" w:sz="4" w:space="0" w:color="000000"/>
              <w:bottom w:val="single" w:sz="4" w:space="0" w:color="000000"/>
              <w:right w:val="single" w:sz="4" w:space="0" w:color="000000"/>
            </w:tcBorders>
            <w:vAlign w:val="center"/>
          </w:tcPr>
          <w:p w14:paraId="3E2252B4" w14:textId="77777777" w:rsidR="00B56B17" w:rsidRDefault="00B56B17" w:rsidP="00B60E5A">
            <w:pPr>
              <w:jc w:val="center"/>
              <w:rPr>
                <w:sz w:val="20"/>
                <w:szCs w:val="18"/>
              </w:rPr>
            </w:pPr>
            <w:r w:rsidRPr="00711400">
              <w:rPr>
                <w:sz w:val="20"/>
                <w:szCs w:val="18"/>
              </w:rPr>
              <w:sym w:font="Wingdings" w:char="F0FC"/>
            </w:r>
          </w:p>
          <w:p w14:paraId="03937CB2" w14:textId="77777777" w:rsidR="00B56B17" w:rsidRDefault="00B56B17" w:rsidP="006B08EF">
            <w:pPr>
              <w:jc w:val="center"/>
              <w:rPr>
                <w:sz w:val="20"/>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7A39E079" w14:textId="77777777" w:rsidR="00B56B17" w:rsidRDefault="00B56B17" w:rsidP="00B60E5A">
            <w:pPr>
              <w:jc w:val="center"/>
              <w:rPr>
                <w:sz w:val="20"/>
                <w:szCs w:val="18"/>
              </w:rPr>
            </w:pPr>
            <w:r w:rsidRPr="00711400">
              <w:rPr>
                <w:sz w:val="20"/>
                <w:szCs w:val="18"/>
              </w:rPr>
              <w:sym w:font="Wingdings" w:char="F0FC"/>
            </w:r>
          </w:p>
          <w:p w14:paraId="4C23791A" w14:textId="77777777" w:rsidR="00B56B17" w:rsidRPr="00711400" w:rsidRDefault="00B56B17" w:rsidP="006B08EF">
            <w:pPr>
              <w:jc w:val="center"/>
              <w:rPr>
                <w:sz w:val="20"/>
                <w:szCs w:val="18"/>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6C1971A1" w14:textId="77777777" w:rsidR="00B56B17" w:rsidRDefault="00B56B17" w:rsidP="00B60E5A">
            <w:pPr>
              <w:jc w:val="center"/>
              <w:rPr>
                <w:rFonts w:asciiTheme="minorHAnsi" w:hAnsiTheme="minorHAnsi" w:cstheme="minorHAnsi"/>
                <w:sz w:val="20"/>
                <w:szCs w:val="18"/>
              </w:rPr>
            </w:pPr>
            <w:r w:rsidRPr="0077319A">
              <w:rPr>
                <w:sz w:val="28"/>
                <w:szCs w:val="18"/>
                <w:lang w:eastAsia="en-GB"/>
              </w:rPr>
              <w:sym w:font="Wingdings" w:char="F0FB"/>
            </w:r>
          </w:p>
          <w:p w14:paraId="07E9BC61" w14:textId="26F5B7F3" w:rsidR="00B56B17" w:rsidRDefault="00B56B17" w:rsidP="006B08EF">
            <w:pPr>
              <w:jc w:val="center"/>
              <w:rPr>
                <w:sz w:val="20"/>
                <w:szCs w:val="18"/>
              </w:rPr>
            </w:pPr>
            <w:r w:rsidRPr="00B60E5A">
              <w:rPr>
                <w:rFonts w:asciiTheme="minorHAnsi" w:hAnsiTheme="minorHAnsi" w:cstheme="minorHAnsi"/>
                <w:sz w:val="20"/>
                <w:szCs w:val="18"/>
              </w:rPr>
              <w:t>Must use correct scientific name</w:t>
            </w:r>
            <w:r>
              <w:rPr>
                <w:sz w:val="20"/>
                <w:szCs w:val="18"/>
              </w:rPr>
              <w:t xml:space="preserve"> </w:t>
            </w:r>
          </w:p>
        </w:tc>
      </w:tr>
      <w:tr w:rsidR="00B56B17" w14:paraId="0D660AA6" w14:textId="77777777" w:rsidTr="00C80D06">
        <w:trPr>
          <w:cantSplit/>
          <w:trHeight w:val="2028"/>
        </w:trPr>
        <w:tc>
          <w:tcPr>
            <w:tcW w:w="2457" w:type="dxa"/>
            <w:tcBorders>
              <w:top w:val="single" w:sz="4" w:space="0" w:color="000000"/>
              <w:left w:val="single" w:sz="4" w:space="0" w:color="000000"/>
              <w:bottom w:val="single" w:sz="4" w:space="0" w:color="000000"/>
              <w:right w:val="single" w:sz="4" w:space="0" w:color="000000"/>
            </w:tcBorders>
            <w:vAlign w:val="center"/>
          </w:tcPr>
          <w:p w14:paraId="7C49503C" w14:textId="16A3C386" w:rsidR="00B56B17" w:rsidRPr="006B08EF" w:rsidRDefault="00B56B17" w:rsidP="006B08EF">
            <w:pPr>
              <w:jc w:val="center"/>
              <w:rPr>
                <w:rFonts w:asciiTheme="minorHAnsi" w:hAnsiTheme="minorHAnsi" w:cstheme="minorHAnsi"/>
                <w:sz w:val="20"/>
                <w:szCs w:val="18"/>
              </w:rPr>
            </w:pPr>
            <w:r w:rsidRPr="00E17394">
              <w:rPr>
                <w:rFonts w:asciiTheme="minorHAnsi" w:hAnsiTheme="minorHAnsi" w:cstheme="minorHAnsi"/>
                <w:sz w:val="20"/>
                <w:szCs w:val="18"/>
                <w:lang w:eastAsia="en-GB"/>
              </w:rPr>
              <w:t>Hong Kong</w:t>
            </w:r>
          </w:p>
        </w:tc>
        <w:tc>
          <w:tcPr>
            <w:tcW w:w="2043" w:type="dxa"/>
            <w:tcBorders>
              <w:top w:val="single" w:sz="4" w:space="0" w:color="000000"/>
              <w:left w:val="single" w:sz="4" w:space="0" w:color="000000"/>
              <w:bottom w:val="single" w:sz="4" w:space="0" w:color="000000"/>
              <w:right w:val="single" w:sz="4" w:space="0" w:color="000000"/>
            </w:tcBorders>
            <w:vAlign w:val="center"/>
          </w:tcPr>
          <w:p w14:paraId="2397FF2A" w14:textId="0FAAD594" w:rsidR="00B56B17" w:rsidRPr="00711400" w:rsidRDefault="00B56B17" w:rsidP="006B08EF">
            <w:pPr>
              <w:jc w:val="center"/>
              <w:rPr>
                <w:sz w:val="20"/>
                <w:szCs w:val="18"/>
              </w:rPr>
            </w:pPr>
            <w:r w:rsidRPr="00E17394">
              <w:rPr>
                <w:szCs w:val="18"/>
              </w:rPr>
              <w:sym w:font="Wingdings" w:char="F0FC"/>
            </w:r>
          </w:p>
        </w:tc>
        <w:tc>
          <w:tcPr>
            <w:tcW w:w="2853" w:type="dxa"/>
            <w:tcBorders>
              <w:top w:val="single" w:sz="4" w:space="0" w:color="000000"/>
              <w:left w:val="single" w:sz="4" w:space="0" w:color="000000"/>
              <w:bottom w:val="single" w:sz="4" w:space="0" w:color="000000"/>
              <w:right w:val="single" w:sz="4" w:space="0" w:color="000000"/>
            </w:tcBorders>
            <w:vAlign w:val="center"/>
          </w:tcPr>
          <w:p w14:paraId="7C254F35" w14:textId="77777777" w:rsidR="00B56B17" w:rsidRPr="00E17394" w:rsidRDefault="00B56B17" w:rsidP="006B08EF">
            <w:pPr>
              <w:jc w:val="center"/>
              <w:rPr>
                <w:szCs w:val="18"/>
                <w:lang w:eastAsia="en-GB"/>
              </w:rPr>
            </w:pPr>
            <w:r w:rsidRPr="00E17394">
              <w:rPr>
                <w:szCs w:val="18"/>
                <w:lang w:eastAsia="en-GB"/>
              </w:rPr>
              <w:sym w:font="Wingdings" w:char="F0FC"/>
            </w:r>
          </w:p>
          <w:p w14:paraId="2A98B554" w14:textId="77777777" w:rsidR="00B56B17" w:rsidRPr="00E17394" w:rsidRDefault="00B56B17" w:rsidP="00B56B17">
            <w:pPr>
              <w:ind w:firstLine="30"/>
              <w:jc w:val="center"/>
              <w:rPr>
                <w:rFonts w:asciiTheme="minorHAnsi" w:hAnsiTheme="minorHAnsi" w:cstheme="minorHAnsi"/>
                <w:sz w:val="20"/>
                <w:szCs w:val="18"/>
              </w:rPr>
            </w:pPr>
            <w:r w:rsidRPr="00E17394">
              <w:rPr>
                <w:rFonts w:asciiTheme="minorHAnsi" w:hAnsiTheme="minorHAnsi" w:cstheme="minorHAnsi"/>
                <w:sz w:val="20"/>
                <w:szCs w:val="18"/>
                <w:lang w:eastAsia="en-GB"/>
              </w:rPr>
              <w:t>Some nutrient claims and health claims</w:t>
            </w:r>
          </w:p>
          <w:p w14:paraId="7FE1621E" w14:textId="77777777" w:rsidR="00B56B17" w:rsidRDefault="00B56B17" w:rsidP="006B08EF">
            <w:pPr>
              <w:ind w:firstLine="30"/>
              <w:jc w:val="center"/>
              <w:rPr>
                <w:rFonts w:asciiTheme="minorHAnsi" w:hAnsiTheme="minorHAnsi" w:cstheme="minorHAnsi"/>
                <w:b/>
                <w:sz w:val="20"/>
                <w:szCs w:val="18"/>
                <w:lang w:eastAsia="en-GB"/>
              </w:rPr>
            </w:pPr>
          </w:p>
          <w:p w14:paraId="321A8465" w14:textId="39A0A7B2" w:rsidR="00332901" w:rsidRDefault="00332901" w:rsidP="006B08EF">
            <w:pPr>
              <w:ind w:firstLine="30"/>
              <w:jc w:val="center"/>
              <w:rPr>
                <w:rFonts w:asciiTheme="minorHAnsi" w:hAnsiTheme="minorHAnsi" w:cstheme="minorHAnsi"/>
                <w:b/>
                <w:sz w:val="20"/>
                <w:szCs w:val="18"/>
                <w:lang w:eastAsia="en-GB"/>
              </w:rPr>
            </w:pPr>
            <w:r>
              <w:rPr>
                <w:rFonts w:asciiTheme="minorHAnsi" w:hAnsiTheme="minorHAnsi" w:cstheme="minorHAnsi"/>
                <w:sz w:val="20"/>
                <w:szCs w:val="18"/>
              </w:rPr>
              <w:sym w:font="Wingdings" w:char="F0FB"/>
            </w:r>
            <w:r>
              <w:rPr>
                <w:rFonts w:asciiTheme="minorHAnsi" w:hAnsiTheme="minorHAnsi" w:cstheme="minorHAnsi"/>
                <w:sz w:val="20"/>
                <w:szCs w:val="18"/>
              </w:rPr>
              <w:t xml:space="preserve">No specific health claim approved </w:t>
            </w:r>
          </w:p>
        </w:tc>
        <w:tc>
          <w:tcPr>
            <w:tcW w:w="1802" w:type="dxa"/>
            <w:tcBorders>
              <w:top w:val="single" w:sz="4" w:space="0" w:color="000000"/>
              <w:left w:val="single" w:sz="4" w:space="0" w:color="000000"/>
              <w:bottom w:val="single" w:sz="4" w:space="0" w:color="000000"/>
              <w:right w:val="single" w:sz="4" w:space="0" w:color="000000"/>
            </w:tcBorders>
            <w:vAlign w:val="center"/>
          </w:tcPr>
          <w:p w14:paraId="3E5CABA6" w14:textId="77777777" w:rsidR="00B56B17" w:rsidRPr="00E17394" w:rsidRDefault="00B56B17" w:rsidP="006B08EF">
            <w:pPr>
              <w:jc w:val="center"/>
              <w:rPr>
                <w:szCs w:val="18"/>
                <w:lang w:eastAsia="en-GB"/>
              </w:rPr>
            </w:pPr>
            <w:r w:rsidRPr="00E17394">
              <w:rPr>
                <w:szCs w:val="18"/>
                <w:lang w:eastAsia="en-GB"/>
              </w:rPr>
              <w:sym w:font="Wingdings" w:char="F0FC"/>
            </w:r>
          </w:p>
          <w:p w14:paraId="3E55E358" w14:textId="77777777" w:rsidR="00B56B17" w:rsidRDefault="00B56B17" w:rsidP="006B08EF">
            <w:pPr>
              <w:jc w:val="center"/>
              <w:rPr>
                <w:sz w:val="20"/>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6CBB9CC1" w14:textId="77777777" w:rsidR="00B56B17" w:rsidRPr="00E17394" w:rsidRDefault="00B56B17" w:rsidP="006B08EF">
            <w:pPr>
              <w:jc w:val="center"/>
              <w:rPr>
                <w:szCs w:val="18"/>
                <w:lang w:eastAsia="en-GB"/>
              </w:rPr>
            </w:pPr>
            <w:r w:rsidRPr="00E17394">
              <w:rPr>
                <w:szCs w:val="18"/>
                <w:lang w:eastAsia="en-GB"/>
              </w:rPr>
              <w:sym w:font="Wingdings" w:char="F0FC"/>
            </w:r>
          </w:p>
          <w:p w14:paraId="7FFF79D6" w14:textId="3CF01D16" w:rsidR="00B56B17" w:rsidRPr="00711400" w:rsidRDefault="00B56B17" w:rsidP="006B08EF">
            <w:pPr>
              <w:jc w:val="center"/>
              <w:rPr>
                <w:sz w:val="20"/>
                <w:szCs w:val="18"/>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6ED1AD08" w14:textId="1DB44D5F" w:rsidR="00B56B17" w:rsidRDefault="00B56B17" w:rsidP="006B08EF">
            <w:pPr>
              <w:jc w:val="center"/>
              <w:rPr>
                <w:rFonts w:asciiTheme="minorHAnsi" w:hAnsiTheme="minorHAnsi" w:cstheme="minorHAnsi"/>
                <w:sz w:val="20"/>
                <w:szCs w:val="18"/>
              </w:rPr>
            </w:pPr>
            <w:r w:rsidRPr="0077319A">
              <w:rPr>
                <w:sz w:val="28"/>
                <w:szCs w:val="18"/>
                <w:lang w:eastAsia="en-GB"/>
              </w:rPr>
              <w:sym w:font="Wingdings" w:char="F0FB"/>
            </w:r>
          </w:p>
          <w:p w14:paraId="6298A5EA" w14:textId="58772BA1" w:rsidR="00B56B17" w:rsidRPr="00E17394" w:rsidRDefault="00B56B17" w:rsidP="006B08EF">
            <w:pPr>
              <w:jc w:val="center"/>
              <w:rPr>
                <w:rFonts w:asciiTheme="minorHAnsi" w:hAnsiTheme="minorHAnsi" w:cstheme="minorHAnsi"/>
                <w:sz w:val="20"/>
                <w:szCs w:val="18"/>
              </w:rPr>
            </w:pPr>
            <w:r w:rsidRPr="00E17394">
              <w:rPr>
                <w:rFonts w:asciiTheme="minorHAnsi" w:hAnsiTheme="minorHAnsi" w:cstheme="minorHAnsi"/>
                <w:sz w:val="20"/>
                <w:szCs w:val="18"/>
              </w:rPr>
              <w:t>Names or abbreviations that are commonly known to consumers are considered</w:t>
            </w:r>
          </w:p>
          <w:p w14:paraId="06F202E7" w14:textId="1521E272" w:rsidR="00B56B17" w:rsidRPr="00711400" w:rsidRDefault="00B56B17" w:rsidP="006B08EF">
            <w:pPr>
              <w:jc w:val="center"/>
              <w:rPr>
                <w:rFonts w:asciiTheme="minorHAnsi" w:hAnsiTheme="minorHAnsi" w:cstheme="minorHAnsi"/>
                <w:sz w:val="20"/>
                <w:szCs w:val="18"/>
              </w:rPr>
            </w:pPr>
            <w:r w:rsidRPr="00E17394">
              <w:rPr>
                <w:rFonts w:asciiTheme="minorHAnsi" w:hAnsiTheme="minorHAnsi" w:cstheme="minorHAnsi"/>
                <w:sz w:val="20"/>
                <w:szCs w:val="18"/>
              </w:rPr>
              <w:t>acceptable in nutrition labelling</w:t>
            </w:r>
          </w:p>
        </w:tc>
      </w:tr>
    </w:tbl>
    <w:p w14:paraId="0C2178D8" w14:textId="01834A73" w:rsidR="00711400" w:rsidRDefault="00711400" w:rsidP="00711400">
      <w:pPr>
        <w:rPr>
          <w:lang w:bidi="ar-SA"/>
        </w:rPr>
      </w:pPr>
    </w:p>
    <w:p w14:paraId="7C07F118" w14:textId="77777777" w:rsidR="0077319A" w:rsidRPr="00711400" w:rsidRDefault="0077319A" w:rsidP="00711400">
      <w:pPr>
        <w:rPr>
          <w:lang w:bidi="ar-SA"/>
        </w:rPr>
        <w:sectPr w:rsidR="0077319A" w:rsidRPr="00711400" w:rsidSect="007014E0">
          <w:pgSz w:w="16838" w:h="11906" w:orient="landscape" w:code="9"/>
          <w:pgMar w:top="1418" w:right="820" w:bottom="1418" w:left="1418" w:header="709" w:footer="709" w:gutter="0"/>
          <w:cols w:space="708"/>
          <w:docGrid w:linePitch="360"/>
        </w:sectPr>
      </w:pPr>
    </w:p>
    <w:p w14:paraId="7B7FF041" w14:textId="77777777" w:rsidR="00305848" w:rsidRPr="00201E5C" w:rsidRDefault="00305848" w:rsidP="00305848">
      <w:pPr>
        <w:pStyle w:val="Heading4"/>
      </w:pPr>
      <w:r w:rsidRPr="00201E5C">
        <w:t>1.3.2.1</w:t>
      </w:r>
      <w:r w:rsidRPr="00201E5C">
        <w:tab/>
        <w:t>Codex standards</w:t>
      </w:r>
    </w:p>
    <w:p w14:paraId="7630DCF4" w14:textId="04AF84AE" w:rsidR="00305848" w:rsidRDefault="00305848" w:rsidP="00305848">
      <w:pPr>
        <w:pStyle w:val="FootnoteText"/>
        <w:rPr>
          <w:sz w:val="22"/>
          <w:szCs w:val="22"/>
          <w:lang w:val="en-AU"/>
        </w:rPr>
      </w:pPr>
      <w:r w:rsidRPr="00680762">
        <w:rPr>
          <w:sz w:val="22"/>
          <w:szCs w:val="22"/>
        </w:rPr>
        <w:t xml:space="preserve">The current Codex </w:t>
      </w:r>
      <w:r>
        <w:rPr>
          <w:sz w:val="22"/>
          <w:szCs w:val="22"/>
        </w:rPr>
        <w:t xml:space="preserve">Alimentarius </w:t>
      </w:r>
      <w:r w:rsidRPr="00680762">
        <w:rPr>
          <w:sz w:val="22"/>
          <w:szCs w:val="22"/>
        </w:rPr>
        <w:t xml:space="preserve">Standards for Infant Formula and Formulas for Special Medical Purposes Intended for Infants (Codex Standard 72-1981) and </w:t>
      </w:r>
      <w:r>
        <w:rPr>
          <w:sz w:val="22"/>
          <w:szCs w:val="22"/>
        </w:rPr>
        <w:t xml:space="preserve">for </w:t>
      </w:r>
      <w:r w:rsidRPr="00680762">
        <w:rPr>
          <w:sz w:val="22"/>
          <w:szCs w:val="22"/>
          <w:lang w:bidi="ar-SA"/>
        </w:rPr>
        <w:t>Follow-up Formula</w:t>
      </w:r>
      <w:r w:rsidRPr="00680762">
        <w:rPr>
          <w:rStyle w:val="FootnoteReference"/>
          <w:sz w:val="22"/>
          <w:szCs w:val="22"/>
          <w:lang w:bidi="ar-SA"/>
        </w:rPr>
        <w:footnoteReference w:id="6"/>
      </w:r>
      <w:r w:rsidRPr="00680762">
        <w:rPr>
          <w:sz w:val="22"/>
          <w:szCs w:val="22"/>
          <w:lang w:bidi="ar-SA"/>
        </w:rPr>
        <w:t xml:space="preserve"> (Codex Standard 156-1987)</w:t>
      </w:r>
      <w:r>
        <w:rPr>
          <w:sz w:val="22"/>
          <w:szCs w:val="22"/>
          <w:lang w:bidi="ar-SA"/>
        </w:rPr>
        <w:t>,</w:t>
      </w:r>
      <w:r w:rsidRPr="00680762">
        <w:rPr>
          <w:sz w:val="22"/>
          <w:szCs w:val="22"/>
          <w:lang w:bidi="ar-SA"/>
        </w:rPr>
        <w:t xml:space="preserve"> </w:t>
      </w:r>
      <w:r w:rsidRPr="00680762">
        <w:rPr>
          <w:sz w:val="22"/>
          <w:szCs w:val="22"/>
        </w:rPr>
        <w:t>do not contain specific provisions for 2</w:t>
      </w:r>
      <w:r>
        <w:rPr>
          <w:sz w:val="22"/>
          <w:szCs w:val="22"/>
        </w:rPr>
        <w:t>′</w:t>
      </w:r>
      <w:r w:rsidRPr="00680762">
        <w:rPr>
          <w:sz w:val="22"/>
          <w:szCs w:val="22"/>
        </w:rPr>
        <w:t xml:space="preserve">-FL or LNnT. However, the </w:t>
      </w:r>
      <w:r>
        <w:rPr>
          <w:sz w:val="22"/>
          <w:szCs w:val="22"/>
        </w:rPr>
        <w:t>s</w:t>
      </w:r>
      <w:r w:rsidRPr="00680762">
        <w:rPr>
          <w:sz w:val="22"/>
          <w:szCs w:val="22"/>
        </w:rPr>
        <w:t xml:space="preserve">tandards contain provisions for ‘optional ingredients’ which </w:t>
      </w:r>
      <w:r>
        <w:rPr>
          <w:sz w:val="22"/>
          <w:szCs w:val="22"/>
        </w:rPr>
        <w:t xml:space="preserve">would </w:t>
      </w:r>
      <w:r w:rsidRPr="00680762">
        <w:rPr>
          <w:sz w:val="22"/>
          <w:szCs w:val="22"/>
        </w:rPr>
        <w:t>apply to the addition of substances such as 2</w:t>
      </w:r>
      <w:r>
        <w:rPr>
          <w:sz w:val="22"/>
          <w:szCs w:val="22"/>
        </w:rPr>
        <w:t>′</w:t>
      </w:r>
      <w:r w:rsidRPr="00680762">
        <w:rPr>
          <w:sz w:val="22"/>
          <w:szCs w:val="22"/>
        </w:rPr>
        <w:t xml:space="preserve">-FL and LNnT. </w:t>
      </w:r>
      <w:r>
        <w:rPr>
          <w:sz w:val="22"/>
          <w:szCs w:val="22"/>
        </w:rPr>
        <w:t>FSANZ notes that t</w:t>
      </w:r>
      <w:r>
        <w:rPr>
          <w:sz w:val="22"/>
          <w:szCs w:val="22"/>
          <w:lang w:bidi="ar-SA"/>
        </w:rPr>
        <w:t>he Follow-up F</w:t>
      </w:r>
      <w:r w:rsidRPr="00680762">
        <w:rPr>
          <w:sz w:val="22"/>
          <w:szCs w:val="22"/>
          <w:lang w:bidi="ar-SA"/>
        </w:rPr>
        <w:t>ormula</w:t>
      </w:r>
      <w:r w:rsidRPr="00680762">
        <w:rPr>
          <w:sz w:val="22"/>
          <w:szCs w:val="22"/>
          <w:lang w:val="en-AU"/>
        </w:rPr>
        <w:t xml:space="preserve"> Standard is currentl</w:t>
      </w:r>
      <w:r>
        <w:rPr>
          <w:sz w:val="22"/>
          <w:szCs w:val="22"/>
          <w:lang w:val="en-AU"/>
        </w:rPr>
        <w:t>y being reviewed by Codex</w:t>
      </w:r>
      <w:r w:rsidRPr="00680762">
        <w:rPr>
          <w:rStyle w:val="FootnoteReference"/>
          <w:sz w:val="22"/>
          <w:szCs w:val="22"/>
          <w:lang w:val="en-AU"/>
        </w:rPr>
        <w:footnoteReference w:id="7"/>
      </w:r>
      <w:r>
        <w:rPr>
          <w:sz w:val="22"/>
          <w:szCs w:val="22"/>
          <w:lang w:val="en-AU"/>
        </w:rPr>
        <w:t xml:space="preserve">. The standards </w:t>
      </w:r>
      <w:r w:rsidR="007014E0">
        <w:rPr>
          <w:sz w:val="22"/>
          <w:szCs w:val="22"/>
          <w:lang w:val="en-AU"/>
        </w:rPr>
        <w:t xml:space="preserve">for infants </w:t>
      </w:r>
      <w:r>
        <w:rPr>
          <w:sz w:val="22"/>
          <w:szCs w:val="22"/>
          <w:lang w:val="en-AU"/>
        </w:rPr>
        <w:t xml:space="preserve">include labelling requirements which align with principles of the WHO Code. </w:t>
      </w:r>
    </w:p>
    <w:p w14:paraId="57E6C24A" w14:textId="77777777" w:rsidR="000C79B9" w:rsidRDefault="000C79B9" w:rsidP="000C79B9">
      <w:pPr>
        <w:pStyle w:val="Heading4"/>
      </w:pPr>
      <w:r>
        <w:t>1.3.2.2</w:t>
      </w:r>
      <w:r>
        <w:tab/>
        <w:t>United States of America</w:t>
      </w:r>
    </w:p>
    <w:p w14:paraId="4AB86A92" w14:textId="2E92DD1D" w:rsidR="000C79B9" w:rsidRDefault="000C79B9" w:rsidP="000C79B9">
      <w:r w:rsidRPr="00B35A08">
        <w:t>The United States Food and Drug Administration (USFDA) issued ‘no questions’</w:t>
      </w:r>
      <w:r>
        <w:rPr>
          <w:rStyle w:val="FootnoteReference"/>
        </w:rPr>
        <w:footnoteReference w:id="8"/>
      </w:r>
      <w:r w:rsidRPr="00B35A08">
        <w:t xml:space="preserve"> responses to the applicant’s self-assessed Generally Recognized as Safe (GRAS) notifications for 2</w:t>
      </w:r>
      <w:r>
        <w:t>′</w:t>
      </w:r>
      <w:r w:rsidRPr="00B35A08">
        <w:t>-FL</w:t>
      </w:r>
      <w:r w:rsidRPr="00B35A08">
        <w:rPr>
          <w:vertAlign w:val="subscript"/>
        </w:rPr>
        <w:t xml:space="preserve">chem &amp; micro </w:t>
      </w:r>
      <w:r w:rsidRPr="00B35A08">
        <w:t>for use in various general and special purpose foods</w:t>
      </w:r>
      <w:r>
        <w:t xml:space="preserve"> (USFDA 2015a, 2016a)</w:t>
      </w:r>
      <w:r w:rsidRPr="00B35A08">
        <w:t>. The maximum intended use level in ‘term infant formula’ and ‘toddler formula</w:t>
      </w:r>
      <w:r>
        <w:t xml:space="preserve">’ (terms used </w:t>
      </w:r>
      <w:r w:rsidRPr="00B35A08">
        <w:t xml:space="preserve">in the US) is 2.4 g/L. </w:t>
      </w:r>
      <w:r w:rsidR="003F56FE">
        <w:t>The USFDA also issued ‘no questions’ responses to applications of other 2′-FL</w:t>
      </w:r>
      <w:r w:rsidR="003F56FE" w:rsidRPr="00F44285">
        <w:rPr>
          <w:vertAlign w:val="subscript"/>
        </w:rPr>
        <w:t xml:space="preserve"> </w:t>
      </w:r>
      <w:r w:rsidR="003F56FE" w:rsidRPr="00795B18">
        <w:rPr>
          <w:vertAlign w:val="subscript"/>
        </w:rPr>
        <w:t>micro</w:t>
      </w:r>
      <w:r w:rsidR="003F56FE" w:rsidRPr="00795B18">
        <w:t xml:space="preserve"> </w:t>
      </w:r>
      <w:r w:rsidR="003F56FE">
        <w:t xml:space="preserve">manufacturers who use different GM production strains </w:t>
      </w:r>
      <w:r>
        <w:t>(</w:t>
      </w:r>
      <w:r w:rsidRPr="0057313B">
        <w:rPr>
          <w:rFonts w:cs="Arial"/>
        </w:rPr>
        <w:t>Jennewein</w:t>
      </w:r>
      <w:r>
        <w:rPr>
          <w:rFonts w:cs="Arial"/>
        </w:rPr>
        <w:t xml:space="preserve"> (USFDA 2015b),</w:t>
      </w:r>
      <w:r w:rsidRPr="0057313B">
        <w:rPr>
          <w:rFonts w:cs="Arial"/>
        </w:rPr>
        <w:t xml:space="preserve"> FrieslandCampina</w:t>
      </w:r>
      <w:r>
        <w:rPr>
          <w:rFonts w:cs="Arial"/>
        </w:rPr>
        <w:t xml:space="preserve"> (USFDA 2018a)</w:t>
      </w:r>
      <w:r w:rsidRPr="0057313B">
        <w:rPr>
          <w:rFonts w:cs="Arial"/>
        </w:rPr>
        <w:t xml:space="preserve"> and Dupont</w:t>
      </w:r>
      <w:r>
        <w:rPr>
          <w:rFonts w:cs="Arial"/>
        </w:rPr>
        <w:t xml:space="preserve"> (USFDA 2018b)</w:t>
      </w:r>
      <w:r>
        <w:t xml:space="preserve">). The maximum intended use levels for term infant formula and toddler formula </w:t>
      </w:r>
      <w:r w:rsidRPr="00F87C2D">
        <w:t>is 2 g/L (Jennewein) and 2.4 g/L (FrieslandCampina</w:t>
      </w:r>
      <w:r w:rsidR="0000510D">
        <w:t xml:space="preserve">; </w:t>
      </w:r>
      <w:r w:rsidRPr="00F87C2D">
        <w:t>Dupont).</w:t>
      </w:r>
    </w:p>
    <w:p w14:paraId="1FDD4D24" w14:textId="77777777" w:rsidR="000C79B9" w:rsidRDefault="000C79B9" w:rsidP="000C79B9"/>
    <w:p w14:paraId="07E5195A" w14:textId="0E396758" w:rsidR="000C79B9" w:rsidRDefault="000C79B9" w:rsidP="000C79B9">
      <w:r>
        <w:t xml:space="preserve">‘No questions’ responses were also issued for the applicant’s </w:t>
      </w:r>
      <w:r w:rsidRPr="00795B18">
        <w:t>LNnT</w:t>
      </w:r>
      <w:r w:rsidR="00022AEC">
        <w:t xml:space="preserve"> </w:t>
      </w:r>
      <w:r w:rsidR="00C2372A">
        <w:t xml:space="preserve">(produced </w:t>
      </w:r>
      <w:r w:rsidR="00022AEC">
        <w:t>by chemical synthesis - GRAS GRN 547 and produced microbial fermentation</w:t>
      </w:r>
      <w:r>
        <w:t>GRAS GRN 659). T</w:t>
      </w:r>
      <w:r w:rsidRPr="00646A3C">
        <w:t xml:space="preserve">he maximum intended use level </w:t>
      </w:r>
      <w:r>
        <w:t xml:space="preserve">of LNnT in term infant formula and toddler formula’s </w:t>
      </w:r>
      <w:r w:rsidRPr="00646A3C">
        <w:t>is 0.6 g/L.</w:t>
      </w:r>
    </w:p>
    <w:p w14:paraId="0C33E50B" w14:textId="77777777" w:rsidR="003B7351" w:rsidRDefault="003B7351" w:rsidP="000C79B9">
      <w:pPr>
        <w:rPr>
          <w:b/>
          <w:bCs/>
          <w:i/>
          <w:iCs/>
          <w:szCs w:val="22"/>
          <w:lang w:bidi="ar-SA"/>
        </w:rPr>
      </w:pPr>
    </w:p>
    <w:p w14:paraId="6369FA4E" w14:textId="087D471E" w:rsidR="003B7351" w:rsidRDefault="003B7351" w:rsidP="00A06E6E">
      <w:pPr>
        <w:rPr>
          <w:bCs/>
          <w:iCs/>
          <w:szCs w:val="22"/>
          <w:lang w:bidi="ar-SA"/>
        </w:rPr>
      </w:pPr>
      <w:r>
        <w:rPr>
          <w:bCs/>
          <w:iCs/>
          <w:szCs w:val="22"/>
          <w:lang w:bidi="ar-SA"/>
        </w:rPr>
        <w:t>The US Code of Federal Regulations (CFR) permits some nutrient content claims on infant formula with conditions. The</w:t>
      </w:r>
      <w:r w:rsidR="00A20130">
        <w:rPr>
          <w:bCs/>
          <w:iCs/>
          <w:szCs w:val="22"/>
          <w:lang w:bidi="ar-SA"/>
        </w:rPr>
        <w:t xml:space="preserve"> FDA Regulations </w:t>
      </w:r>
      <w:r>
        <w:rPr>
          <w:bCs/>
          <w:iCs/>
          <w:szCs w:val="22"/>
          <w:lang w:bidi="ar-SA"/>
        </w:rPr>
        <w:t>allow statements describing the percentage of the vitamin or mineral in the product in relation to RDIs</w:t>
      </w:r>
      <w:r w:rsidR="004801C9">
        <w:rPr>
          <w:bCs/>
          <w:iCs/>
          <w:szCs w:val="22"/>
          <w:lang w:bidi="ar-SA"/>
        </w:rPr>
        <w:t xml:space="preserve"> (US FDA 2016)</w:t>
      </w:r>
      <w:r>
        <w:rPr>
          <w:bCs/>
          <w:iCs/>
          <w:szCs w:val="22"/>
          <w:lang w:bidi="ar-SA"/>
        </w:rPr>
        <w:t xml:space="preserve">. </w:t>
      </w:r>
      <w:r w:rsidR="00A20130">
        <w:rPr>
          <w:bCs/>
          <w:iCs/>
          <w:szCs w:val="22"/>
          <w:lang w:bidi="ar-SA"/>
        </w:rPr>
        <w:t xml:space="preserve">There are also processes for a company to petition for new nutrient content claims, </w:t>
      </w:r>
      <w:r w:rsidR="00A06E6E">
        <w:rPr>
          <w:bCs/>
          <w:iCs/>
          <w:szCs w:val="22"/>
          <w:lang w:bidi="ar-SA"/>
        </w:rPr>
        <w:t>s</w:t>
      </w:r>
      <w:r w:rsidR="00A20130">
        <w:rPr>
          <w:bCs/>
          <w:iCs/>
          <w:szCs w:val="22"/>
          <w:lang w:bidi="ar-SA"/>
        </w:rPr>
        <w:t>ynonymous terms and the use of an implied claim in a brand name (</w:t>
      </w:r>
      <w:r w:rsidR="004801C9">
        <w:rPr>
          <w:rFonts w:cs="Arial"/>
          <w:color w:val="01203B"/>
          <w:lang w:val="en"/>
        </w:rPr>
        <w:t>21 CFR 101.69 - Petitions for nutrient content claims</w:t>
      </w:r>
      <w:r w:rsidR="00A20130">
        <w:rPr>
          <w:bCs/>
          <w:iCs/>
          <w:szCs w:val="22"/>
          <w:lang w:bidi="ar-SA"/>
        </w:rPr>
        <w:t>)</w:t>
      </w:r>
      <w:r w:rsidR="0000510D">
        <w:rPr>
          <w:bCs/>
          <w:iCs/>
          <w:szCs w:val="22"/>
          <w:lang w:bidi="ar-SA"/>
        </w:rPr>
        <w:t>; m</w:t>
      </w:r>
      <w:r>
        <w:rPr>
          <w:bCs/>
          <w:iCs/>
          <w:szCs w:val="22"/>
          <w:lang w:bidi="ar-SA"/>
        </w:rPr>
        <w:t xml:space="preserve">isleading claims </w:t>
      </w:r>
      <w:r w:rsidR="005948D8">
        <w:rPr>
          <w:bCs/>
          <w:iCs/>
          <w:szCs w:val="22"/>
          <w:lang w:bidi="ar-SA"/>
        </w:rPr>
        <w:t>are not permitted. Health claims can also be made on infant formula subject to be</w:t>
      </w:r>
      <w:r w:rsidR="0000510D">
        <w:rPr>
          <w:bCs/>
          <w:iCs/>
          <w:szCs w:val="22"/>
          <w:lang w:bidi="ar-SA"/>
        </w:rPr>
        <w:t>ing</w:t>
      </w:r>
      <w:r w:rsidR="005948D8">
        <w:rPr>
          <w:bCs/>
          <w:iCs/>
          <w:szCs w:val="22"/>
          <w:lang w:bidi="ar-SA"/>
        </w:rPr>
        <w:t xml:space="preserve"> permitted under the CFR. </w:t>
      </w:r>
      <w:r w:rsidR="00A20130">
        <w:rPr>
          <w:bCs/>
          <w:iCs/>
          <w:szCs w:val="22"/>
          <w:lang w:bidi="ar-SA"/>
        </w:rPr>
        <w:t>Structure and function claims are also permitted to be used on infant formula subject to conditions. The</w:t>
      </w:r>
      <w:r w:rsidR="00BD7573">
        <w:rPr>
          <w:bCs/>
          <w:iCs/>
          <w:szCs w:val="22"/>
          <w:lang w:bidi="ar-SA"/>
        </w:rPr>
        <w:t>re</w:t>
      </w:r>
      <w:r w:rsidR="00A20130">
        <w:rPr>
          <w:bCs/>
          <w:iCs/>
          <w:szCs w:val="22"/>
          <w:lang w:bidi="ar-SA"/>
        </w:rPr>
        <w:t xml:space="preserve"> is no prescribed term for </w:t>
      </w:r>
      <w:r w:rsidR="00A06E6E" w:rsidRPr="001A7C76">
        <w:t>2′-FL</w:t>
      </w:r>
      <w:r w:rsidR="00A06E6E">
        <w:t xml:space="preserve"> or LNnT. </w:t>
      </w:r>
    </w:p>
    <w:p w14:paraId="7B0A38CE" w14:textId="790F6F9B" w:rsidR="000C79B9" w:rsidRDefault="000C79B9" w:rsidP="000C79B9">
      <w:pPr>
        <w:pStyle w:val="Heading4"/>
      </w:pPr>
      <w:r>
        <w:t>1.3.2.3</w:t>
      </w:r>
      <w:r>
        <w:tab/>
        <w:t>European Union</w:t>
      </w:r>
    </w:p>
    <w:p w14:paraId="52322FFF" w14:textId="7483461F" w:rsidR="000C79B9" w:rsidRDefault="000C79B9" w:rsidP="000C79B9">
      <w:r>
        <w:t>2′-FL and LNnT are permitted</w:t>
      </w:r>
      <w:r w:rsidRPr="00E570B3">
        <w:t xml:space="preserve"> </w:t>
      </w:r>
      <w:r>
        <w:t xml:space="preserve">as novel foods in the European Union (EU) for use </w:t>
      </w:r>
      <w:r w:rsidRPr="00C64A22">
        <w:t>in</w:t>
      </w:r>
      <w:r>
        <w:t xml:space="preserve"> a range of general foods (e.g. milk-based products, cereal bars, bread and pasta products) and special purpose foods (EU 2017a). The relevant requirements for infant formula products and milk-based drinks for young children</w:t>
      </w:r>
      <w:r w:rsidRPr="00005CE0">
        <w:rPr>
          <w:rStyle w:val="FootnoteReference"/>
        </w:rPr>
        <w:footnoteReference w:id="9"/>
      </w:r>
      <w:r>
        <w:t xml:space="preserve"> are:</w:t>
      </w:r>
    </w:p>
    <w:p w14:paraId="6B25F6B0" w14:textId="77777777" w:rsidR="008F2861" w:rsidRDefault="008F2861" w:rsidP="000C79B9"/>
    <w:p w14:paraId="6A681889" w14:textId="77777777" w:rsidR="000C79B9" w:rsidRDefault="000C79B9" w:rsidP="000C79B9">
      <w:pPr>
        <w:pStyle w:val="FSBullet1"/>
        <w:numPr>
          <w:ilvl w:val="0"/>
          <w:numId w:val="5"/>
        </w:numPr>
        <w:ind w:left="567" w:hanging="567"/>
      </w:pPr>
      <w:r w:rsidRPr="001A7C76">
        <w:t>For infant formula and follow-on formula, a maximum level of 1.2 g/L of 2′-FL alone or in combination</w:t>
      </w:r>
      <w:r w:rsidRPr="00692F48">
        <w:t xml:space="preserve"> with up to 0.6 g/L of LNnT</w:t>
      </w:r>
      <w:r>
        <w:t xml:space="preserve"> </w:t>
      </w:r>
      <w:r w:rsidRPr="00692F48">
        <w:t>at a ratio of 2:1 in t</w:t>
      </w:r>
      <w:r>
        <w:t xml:space="preserve">he final ready-to-use product. </w:t>
      </w:r>
    </w:p>
    <w:p w14:paraId="368223E0" w14:textId="77777777" w:rsidR="000C79B9" w:rsidRPr="003A772B" w:rsidRDefault="000C79B9" w:rsidP="000C79B9">
      <w:pPr>
        <w:pStyle w:val="FSBullet1"/>
        <w:numPr>
          <w:ilvl w:val="0"/>
          <w:numId w:val="5"/>
        </w:numPr>
        <w:ind w:left="567" w:hanging="567"/>
      </w:pPr>
      <w:r>
        <w:t xml:space="preserve">For milk-based drinks for young children, a maximum of 1.2 g/L of 2′-FL alone, </w:t>
      </w:r>
      <w:r w:rsidRPr="00B35A08">
        <w:t>or 0.6 g/L of LNnT alone</w:t>
      </w:r>
      <w:r>
        <w:t xml:space="preserve">, </w:t>
      </w:r>
      <w:r w:rsidRPr="00B35A08">
        <w:t xml:space="preserve">or </w:t>
      </w:r>
      <w:r>
        <w:t xml:space="preserve">1.2 g/L 2′-FL in combination with up to 0.6 g/L LNnT </w:t>
      </w:r>
      <w:r w:rsidRPr="00B35A08">
        <w:t xml:space="preserve">at a ratio of </w:t>
      </w:r>
      <w:r>
        <w:t>2</w:t>
      </w:r>
      <w:r w:rsidRPr="00B35A08">
        <w:t>:</w:t>
      </w:r>
      <w:r>
        <w:t>1</w:t>
      </w:r>
      <w:r w:rsidRPr="00B35A08">
        <w:t xml:space="preserve"> in the final</w:t>
      </w:r>
      <w:r>
        <w:t xml:space="preserve"> ready-to-use product.</w:t>
      </w:r>
    </w:p>
    <w:p w14:paraId="39A715A0" w14:textId="77777777" w:rsidR="000C79B9" w:rsidRDefault="000C79B9" w:rsidP="000C79B9">
      <w:pPr>
        <w:pStyle w:val="FSBullet1"/>
        <w:numPr>
          <w:ilvl w:val="0"/>
          <w:numId w:val="5"/>
        </w:numPr>
        <w:ind w:left="567" w:hanging="567"/>
      </w:pPr>
      <w:r w:rsidRPr="00B52AC9">
        <w:t>For foods for special medical purposes</w:t>
      </w:r>
      <w:r>
        <w:t xml:space="preserve"> which</w:t>
      </w:r>
      <w:r w:rsidRPr="00B52AC9">
        <w:t xml:space="preserve"> includes such foods for infants, the maximum level used must be in accordance with the particular nutritional requirements of the persons for whom the products are intended. </w:t>
      </w:r>
    </w:p>
    <w:p w14:paraId="59F57F61" w14:textId="77777777" w:rsidR="000C79B9" w:rsidRPr="002909C8" w:rsidRDefault="000C79B9" w:rsidP="000C79B9">
      <w:pPr>
        <w:rPr>
          <w:lang w:bidi="ar-SA"/>
        </w:rPr>
      </w:pPr>
    </w:p>
    <w:p w14:paraId="3A24876D" w14:textId="27FA0C06" w:rsidR="000C79B9" w:rsidRPr="00E6254E" w:rsidRDefault="000C79B9" w:rsidP="000C79B9">
      <w:pPr>
        <w:pStyle w:val="FSBullet2"/>
        <w:numPr>
          <w:ilvl w:val="0"/>
          <w:numId w:val="0"/>
        </w:numPr>
        <w:rPr>
          <w:rFonts w:cs="Arial"/>
        </w:rPr>
      </w:pPr>
      <w:r w:rsidRPr="00E6254E">
        <w:rPr>
          <w:rFonts w:cs="Arial"/>
        </w:rPr>
        <w:t xml:space="preserve">Specifications are currently prescribed in the EU for 2′-FL and LNnT. These have recently been modified to be generic based on several equivalence notifications to the EU Commission from manufacturers (EU 2018, MEB 2017a, b). </w:t>
      </w:r>
    </w:p>
    <w:p w14:paraId="266C3C9D" w14:textId="77777777" w:rsidR="000C79B9" w:rsidRPr="00E6254E" w:rsidRDefault="000C79B9" w:rsidP="000C79B9">
      <w:pPr>
        <w:pStyle w:val="FSBullet2"/>
        <w:numPr>
          <w:ilvl w:val="0"/>
          <w:numId w:val="0"/>
        </w:numPr>
        <w:rPr>
          <w:rFonts w:cs="Arial"/>
        </w:rPr>
      </w:pPr>
    </w:p>
    <w:p w14:paraId="29A4AEEB" w14:textId="77777777" w:rsidR="00E54D36" w:rsidRDefault="000C79B9" w:rsidP="000C79B9">
      <w:pPr>
        <w:pStyle w:val="FSBullet2"/>
        <w:numPr>
          <w:ilvl w:val="0"/>
          <w:numId w:val="0"/>
        </w:numPr>
        <w:rPr>
          <w:rFonts w:cs="Arial"/>
        </w:rPr>
      </w:pPr>
      <w:r w:rsidRPr="00E6254E">
        <w:rPr>
          <w:rFonts w:cs="Arial"/>
        </w:rPr>
        <w:t xml:space="preserve">The novel food permissions in Commission Implementing Regulation (EU) 2018/1023 designates that labelling of the foodstuffs containing 2′-FL and LNnT need to use the terms ‘2′-fucosyllactose’ and ‘Lacto-N-neotetraose’. </w:t>
      </w:r>
    </w:p>
    <w:p w14:paraId="71F27B56" w14:textId="77777777" w:rsidR="0000510D" w:rsidRDefault="0000510D" w:rsidP="00B60E5A">
      <w:pPr>
        <w:pStyle w:val="FSBullet2"/>
        <w:numPr>
          <w:ilvl w:val="0"/>
          <w:numId w:val="0"/>
        </w:numPr>
        <w:rPr>
          <w:rFonts w:cs="Arial"/>
        </w:rPr>
      </w:pPr>
    </w:p>
    <w:p w14:paraId="6DE6F5AA" w14:textId="11E89373" w:rsidR="000C79B9" w:rsidRPr="00E6254E" w:rsidRDefault="000C79B9" w:rsidP="00B60E5A">
      <w:pPr>
        <w:pStyle w:val="FSBullet2"/>
        <w:numPr>
          <w:ilvl w:val="0"/>
          <w:numId w:val="0"/>
        </w:numPr>
        <w:rPr>
          <w:rFonts w:cs="Arial"/>
        </w:rPr>
      </w:pPr>
      <w:r w:rsidRPr="00E6254E">
        <w:rPr>
          <w:rFonts w:cs="Arial"/>
        </w:rPr>
        <w:t>Point 3 of Article 13 of Commission Directive 2006/141/EC states that “The use of the terms ‘humanised’, ‘maternalised’, ‘adapted’, or similar terms shall be prohibited.”</w:t>
      </w:r>
      <w:r w:rsidR="00B60E5A">
        <w:rPr>
          <w:rFonts w:cs="Arial"/>
        </w:rPr>
        <w:t xml:space="preserve"> </w:t>
      </w:r>
      <w:r w:rsidRPr="00E6254E">
        <w:rPr>
          <w:rFonts w:cs="Arial"/>
        </w:rPr>
        <w:t>The incoming EU Directive on Nutrition and Health Claims (</w:t>
      </w:r>
      <w:hyperlink r:id="rId24" w:tgtFrame="_blank" w:history="1">
        <w:r w:rsidRPr="00E6254E">
          <w:rPr>
            <w:rStyle w:val="Hyperlink"/>
            <w:rFonts w:cs="Arial"/>
            <w:color w:val="0065A2"/>
            <w:shd w:val="clear" w:color="auto" w:fill="FFFFFF"/>
          </w:rPr>
          <w:t>Regulation (EU) 2016/127</w:t>
        </w:r>
      </w:hyperlink>
      <w:r w:rsidRPr="00E6254E">
        <w:rPr>
          <w:rFonts w:cs="Arial"/>
        </w:rPr>
        <w:t xml:space="preserve">) prohibits nutrition and health claims on </w:t>
      </w:r>
      <w:r w:rsidR="0000510D">
        <w:rPr>
          <w:rFonts w:cs="Arial"/>
        </w:rPr>
        <w:t xml:space="preserve">infant </w:t>
      </w:r>
      <w:r w:rsidRPr="00E6254E">
        <w:rPr>
          <w:rFonts w:cs="Arial"/>
        </w:rPr>
        <w:t>formula.  This comes into effect in 2020 and 2021.</w:t>
      </w:r>
    </w:p>
    <w:p w14:paraId="62C5D3EB" w14:textId="77777777" w:rsidR="00020CB3" w:rsidRPr="00201E5C" w:rsidRDefault="00020CB3" w:rsidP="00020CB3">
      <w:pPr>
        <w:pStyle w:val="Heading4"/>
        <w:tabs>
          <w:tab w:val="left" w:pos="851"/>
        </w:tabs>
      </w:pPr>
      <w:r w:rsidRPr="00201E5C">
        <w:t>1.3.2.4</w:t>
      </w:r>
      <w:r w:rsidRPr="00201E5C">
        <w:tab/>
        <w:t>Singapore</w:t>
      </w:r>
    </w:p>
    <w:p w14:paraId="5A5FCB04" w14:textId="73903437" w:rsidR="00020CB3" w:rsidRDefault="00020CB3" w:rsidP="00020CB3">
      <w:pPr>
        <w:widowControl/>
      </w:pPr>
      <w:r>
        <w:t>T</w:t>
      </w:r>
      <w:r w:rsidRPr="00CD2BF0">
        <w:t xml:space="preserve">he Agri-Food &amp; Veterinary Authority </w:t>
      </w:r>
      <w:r>
        <w:t xml:space="preserve">(now known as the Singapore Food Agency) granted permission for the applicant’s </w:t>
      </w:r>
      <w:r w:rsidRPr="00CD2BF0">
        <w:t>2</w:t>
      </w:r>
      <w:r>
        <w:t>′</w:t>
      </w:r>
      <w:r w:rsidRPr="00CD2BF0">
        <w:t>-FL</w:t>
      </w:r>
      <w:r>
        <w:rPr>
          <w:vertAlign w:val="subscript"/>
        </w:rPr>
        <w:t>micro</w:t>
      </w:r>
      <w:r w:rsidRPr="00CD2BF0">
        <w:t xml:space="preserve"> </w:t>
      </w:r>
      <w:r>
        <w:t xml:space="preserve">(up to 1.2 g/L) </w:t>
      </w:r>
      <w:r w:rsidRPr="00CD2BF0">
        <w:t>and LNnT</w:t>
      </w:r>
      <w:r>
        <w:rPr>
          <w:vertAlign w:val="subscript"/>
        </w:rPr>
        <w:t>micro</w:t>
      </w:r>
      <w:r>
        <w:t xml:space="preserve"> (up to 0.6 g/L)</w:t>
      </w:r>
      <w:r w:rsidRPr="00CD2BF0">
        <w:t xml:space="preserve"> </w:t>
      </w:r>
      <w:r w:rsidRPr="006C2EF2">
        <w:t xml:space="preserve">in </w:t>
      </w:r>
      <w:r>
        <w:t xml:space="preserve">infant formula and </w:t>
      </w:r>
      <w:r w:rsidRPr="006C2EF2">
        <w:t>follow-on formula (</w:t>
      </w:r>
      <w:r>
        <w:t>Singapore 2018</w:t>
      </w:r>
      <w:r w:rsidRPr="006C2EF2">
        <w:t>). According to the application, their use in ‘growing-up milks’ (12 to</w:t>
      </w:r>
      <w:r>
        <w:t xml:space="preserve"> 36 months) is also permitted.</w:t>
      </w:r>
    </w:p>
    <w:p w14:paraId="7E30227B" w14:textId="0F6A84FE" w:rsidR="004D1F5F" w:rsidRDefault="004D1F5F" w:rsidP="00020CB3">
      <w:pPr>
        <w:widowControl/>
      </w:pPr>
    </w:p>
    <w:p w14:paraId="3D7B92FC" w14:textId="6D1CD6AC" w:rsidR="004D1F5F" w:rsidRPr="00E54D36" w:rsidRDefault="00E54D36" w:rsidP="00E54D36">
      <w:r w:rsidRPr="00E54D36">
        <w:t>Singapore</w:t>
      </w:r>
      <w:r>
        <w:t xml:space="preserve"> has recently reviewed the labelling regulations for infant formula. </w:t>
      </w:r>
      <w:r w:rsidR="00A275FF">
        <w:t xml:space="preserve">There is a </w:t>
      </w:r>
      <w:r w:rsidR="004D1F5F" w:rsidRPr="00E54D36">
        <w:t xml:space="preserve">prohibition on </w:t>
      </w:r>
      <w:r w:rsidR="00A275FF">
        <w:t xml:space="preserve">the use of </w:t>
      </w:r>
      <w:r w:rsidR="004D1F5F" w:rsidRPr="00E54D36">
        <w:t>health claims</w:t>
      </w:r>
      <w:r w:rsidR="00A275FF">
        <w:t xml:space="preserve"> on infant formula. Companies can make </w:t>
      </w:r>
      <w:r w:rsidR="00A275FF" w:rsidRPr="00E54D36">
        <w:t xml:space="preserve">ingredient claims but </w:t>
      </w:r>
      <w:r w:rsidR="00D45193">
        <w:t xml:space="preserve">only </w:t>
      </w:r>
      <w:r w:rsidR="00A275FF" w:rsidRPr="00E54D36">
        <w:t xml:space="preserve">using correct scientific name or acronym </w:t>
      </w:r>
      <w:r w:rsidR="00A275FF">
        <w:t xml:space="preserve">(for example </w:t>
      </w:r>
      <w:r w:rsidR="00A275FF" w:rsidRPr="00E54D36">
        <w:t>GOS</w:t>
      </w:r>
      <w:r w:rsidR="00A275FF">
        <w:t xml:space="preserve"> or </w:t>
      </w:r>
      <w:r w:rsidR="00A275FF" w:rsidRPr="00E54D36">
        <w:t>DHA</w:t>
      </w:r>
      <w:r w:rsidR="00A275FF">
        <w:t>),</w:t>
      </w:r>
      <w:r w:rsidR="00A275FF" w:rsidRPr="00E54D36">
        <w:t xml:space="preserve"> but</w:t>
      </w:r>
      <w:r w:rsidR="00A275FF">
        <w:t xml:space="preserve"> claims must not </w:t>
      </w:r>
      <w:r w:rsidR="00A275FF" w:rsidRPr="00E54D36">
        <w:t xml:space="preserve">imply that the </w:t>
      </w:r>
      <w:r w:rsidR="00A275FF">
        <w:t xml:space="preserve">infant </w:t>
      </w:r>
      <w:r w:rsidR="00A275FF" w:rsidRPr="00E54D36">
        <w:t xml:space="preserve">formula is enriched, fortified or is an excellent source </w:t>
      </w:r>
      <w:r w:rsidR="00A275FF">
        <w:t xml:space="preserve">of a nutrient </w:t>
      </w:r>
      <w:r w:rsidR="00A275FF" w:rsidRPr="00E54D36">
        <w:t xml:space="preserve">in any way. </w:t>
      </w:r>
      <w:r w:rsidR="00A275FF">
        <w:t>The regulations also include a r</w:t>
      </w:r>
      <w:r w:rsidR="004D1F5F" w:rsidRPr="00E54D36">
        <w:t xml:space="preserve">estriction on </w:t>
      </w:r>
      <w:r w:rsidR="00A275FF">
        <w:t xml:space="preserve">the use of the terms </w:t>
      </w:r>
      <w:r w:rsidR="00A275FF" w:rsidRPr="00E6254E">
        <w:rPr>
          <w:rFonts w:cs="Arial"/>
        </w:rPr>
        <w:t>‘humanised’, ‘maternalised’, ‘or similar term</w:t>
      </w:r>
      <w:r w:rsidR="00A275FF">
        <w:rPr>
          <w:rFonts w:cs="Arial"/>
        </w:rPr>
        <w:t xml:space="preserve"> as well as </w:t>
      </w:r>
      <w:r w:rsidR="00A275FF">
        <w:t xml:space="preserve">comparisons to </w:t>
      </w:r>
      <w:r w:rsidR="00A9269B">
        <w:t>breast milk</w:t>
      </w:r>
      <w:r w:rsidR="00A275FF">
        <w:t xml:space="preserve">. Guidance </w:t>
      </w:r>
      <w:r w:rsidR="004D1F5F" w:rsidRPr="00E54D36">
        <w:t>document</w:t>
      </w:r>
      <w:r w:rsidR="00A275FF">
        <w:t xml:space="preserve">s for industry </w:t>
      </w:r>
      <w:r w:rsidR="004D1F5F" w:rsidRPr="00E54D36">
        <w:t xml:space="preserve">on </w:t>
      </w:r>
      <w:r w:rsidR="00A275FF">
        <w:t>labelling provide the following specific examples: “</w:t>
      </w:r>
      <w:r w:rsidR="004D1F5F" w:rsidRPr="00E54D36">
        <w:t xml:space="preserve">{name of ingredient} sourced/obtained from </w:t>
      </w:r>
      <w:r w:rsidR="00A9269B">
        <w:t>breast milk</w:t>
      </w:r>
      <w:r w:rsidR="004D1F5F" w:rsidRPr="00E54D36">
        <w:t xml:space="preserve">”, or “{name of ingredient} similar to </w:t>
      </w:r>
      <w:r w:rsidR="00A9269B">
        <w:t>breast milk</w:t>
      </w:r>
      <w:r w:rsidR="004D1F5F" w:rsidRPr="00E54D36">
        <w:t>”</w:t>
      </w:r>
    </w:p>
    <w:p w14:paraId="27FC40D4" w14:textId="77777777" w:rsidR="00020CB3" w:rsidRPr="00201E5C" w:rsidRDefault="00020CB3" w:rsidP="00020CB3">
      <w:pPr>
        <w:pStyle w:val="Heading4"/>
      </w:pPr>
      <w:r w:rsidRPr="00201E5C">
        <w:t>1.3.2.5</w:t>
      </w:r>
      <w:r w:rsidRPr="00201E5C">
        <w:tab/>
        <w:t xml:space="preserve">Israel </w:t>
      </w:r>
    </w:p>
    <w:p w14:paraId="24EE1DEA" w14:textId="44680E40" w:rsidR="00A275FF" w:rsidRDefault="00020CB3" w:rsidP="00020CB3">
      <w:bookmarkStart w:id="48" w:name="_Toc11247896"/>
      <w:r w:rsidRPr="00CD2BF0">
        <w:t>2</w:t>
      </w:r>
      <w:r>
        <w:t>′</w:t>
      </w:r>
      <w:r w:rsidRPr="00CD2BF0">
        <w:t>-FL</w:t>
      </w:r>
      <w:r>
        <w:rPr>
          <w:vertAlign w:val="subscript"/>
        </w:rPr>
        <w:t>micro</w:t>
      </w:r>
      <w:r w:rsidRPr="00CD2BF0">
        <w:t xml:space="preserve"> </w:t>
      </w:r>
      <w:r>
        <w:t xml:space="preserve">and </w:t>
      </w:r>
      <w:r w:rsidRPr="00CD2BF0">
        <w:t>LNnT</w:t>
      </w:r>
      <w:r>
        <w:rPr>
          <w:vertAlign w:val="subscript"/>
        </w:rPr>
        <w:t>micro</w:t>
      </w:r>
      <w:r w:rsidRPr="00D60191">
        <w:t xml:space="preserve"> </w:t>
      </w:r>
      <w:r>
        <w:t xml:space="preserve">are authorised for use in </w:t>
      </w:r>
      <w:r w:rsidRPr="00BC5D59">
        <w:t>infant formula</w:t>
      </w:r>
      <w:r>
        <w:t xml:space="preserve">s, </w:t>
      </w:r>
      <w:r w:rsidRPr="00BC5D59">
        <w:t>follow-on formula</w:t>
      </w:r>
      <w:r>
        <w:t xml:space="preserve"> and toddler formulas </w:t>
      </w:r>
      <w:r w:rsidRPr="000C66EC">
        <w:t>(</w:t>
      </w:r>
      <w:r>
        <w:t xml:space="preserve">Israel MOH </w:t>
      </w:r>
      <w:r w:rsidRPr="000C66EC">
        <w:t>2017</w:t>
      </w:r>
      <w:r>
        <w:t>, 2019). A maximum level of 2 g/L 2′-FL alone, or 0.6 g/L LNnT alone, is permitted in the final ready-to-use product. Where LNnT is added in combination with 2′-FL, the permitted maximum levels are 0.6 g/L LNnT and 1.2 g/L 2′-FL at a ratio of 1:2 in the final product.</w:t>
      </w:r>
      <w:bookmarkEnd w:id="48"/>
      <w:r>
        <w:t xml:space="preserve"> </w:t>
      </w:r>
      <w:r w:rsidR="0000510D">
        <w:t>T</w:t>
      </w:r>
      <w:r w:rsidR="00A275FF">
        <w:t>he labelling restrictions for infant formula products</w:t>
      </w:r>
      <w:r w:rsidR="0000510D">
        <w:t xml:space="preserve"> are unclear</w:t>
      </w:r>
      <w:r w:rsidR="00A275FF">
        <w:t xml:space="preserve">. </w:t>
      </w:r>
    </w:p>
    <w:p w14:paraId="75E79CA8" w14:textId="3756A1DF" w:rsidR="007A53BF" w:rsidRPr="007A53BF" w:rsidRDefault="007A53BF" w:rsidP="00CE59AA">
      <w:pPr>
        <w:pStyle w:val="Heading2"/>
        <w:rPr>
          <w:u w:color="FFFF00"/>
        </w:rPr>
      </w:pPr>
      <w:bookmarkStart w:id="49" w:name="_Toc22303660"/>
      <w:bookmarkStart w:id="50" w:name="_Toc22650323"/>
      <w:r w:rsidRPr="007A53BF">
        <w:rPr>
          <w:u w:color="FFFF00"/>
        </w:rPr>
        <w:t>1.4</w:t>
      </w:r>
      <w:r w:rsidRPr="007A53BF">
        <w:rPr>
          <w:u w:color="FFFF00"/>
        </w:rPr>
        <w:tab/>
        <w:t xml:space="preserve">Reasons </w:t>
      </w:r>
      <w:r w:rsidRPr="00020CB3">
        <w:rPr>
          <w:u w:color="FFFF00"/>
        </w:rPr>
        <w:t>for accepting Application</w:t>
      </w:r>
      <w:bookmarkEnd w:id="38"/>
      <w:bookmarkEnd w:id="49"/>
      <w:bookmarkEnd w:id="50"/>
      <w:r w:rsidRPr="00020CB3">
        <w:rPr>
          <w:u w:color="FFFF00"/>
        </w:rPr>
        <w:t xml:space="preserve"> </w:t>
      </w:r>
      <w:bookmarkEnd w:id="39"/>
      <w:bookmarkEnd w:id="40"/>
    </w:p>
    <w:bookmarkEnd w:id="41"/>
    <w:p w14:paraId="5171D4E3" w14:textId="77777777" w:rsidR="007A53BF" w:rsidRPr="00020CB3" w:rsidRDefault="007A53BF" w:rsidP="007A53BF">
      <w:r w:rsidRPr="00020CB3">
        <w:t>The Application was accepted for assessment because:</w:t>
      </w:r>
    </w:p>
    <w:p w14:paraId="1700EC0C" w14:textId="77777777" w:rsidR="007A53BF" w:rsidRPr="00020CB3" w:rsidRDefault="007A53BF" w:rsidP="007A53BF"/>
    <w:p w14:paraId="196C4B33" w14:textId="77777777" w:rsidR="007A53BF" w:rsidRPr="00CF6D59" w:rsidRDefault="007A53BF" w:rsidP="00CF6D59">
      <w:pPr>
        <w:pStyle w:val="AARBullet"/>
        <w:ind w:left="567" w:hanging="567"/>
        <w:rPr>
          <w:sz w:val="22"/>
        </w:rPr>
      </w:pPr>
      <w:r w:rsidRPr="00CF6D59">
        <w:rPr>
          <w:sz w:val="22"/>
        </w:rPr>
        <w:t>it complied with the procedural requirements under subsection 22(2)</w:t>
      </w:r>
    </w:p>
    <w:p w14:paraId="6A8D97E6" w14:textId="14E3F867" w:rsidR="007A53BF" w:rsidRPr="00CF6D59" w:rsidRDefault="007A53BF" w:rsidP="00CF6D59">
      <w:pPr>
        <w:pStyle w:val="AARBullet"/>
        <w:ind w:left="567" w:hanging="567"/>
        <w:rPr>
          <w:sz w:val="22"/>
        </w:rPr>
      </w:pPr>
      <w:r w:rsidRPr="00CF6D59">
        <w:rPr>
          <w:sz w:val="22"/>
        </w:rPr>
        <w:t>it warranted the variati</w:t>
      </w:r>
      <w:r w:rsidR="00020CB3" w:rsidRPr="00CF6D59">
        <w:rPr>
          <w:sz w:val="22"/>
        </w:rPr>
        <w:t>on of a food regulatory measure</w:t>
      </w:r>
      <w:r w:rsidR="001769C2">
        <w:rPr>
          <w:sz w:val="22"/>
        </w:rPr>
        <w:t>.</w:t>
      </w:r>
    </w:p>
    <w:p w14:paraId="45CE9FCF" w14:textId="77777777" w:rsidR="007A53BF" w:rsidRPr="007A53BF" w:rsidRDefault="007A53BF" w:rsidP="0000510D">
      <w:pPr>
        <w:pStyle w:val="Heading2"/>
        <w:keepLines/>
      </w:pPr>
      <w:bookmarkStart w:id="51" w:name="_Toc370223469"/>
      <w:bookmarkStart w:id="52" w:name="_Toc22303661"/>
      <w:bookmarkStart w:id="53" w:name="_Toc22650324"/>
      <w:r w:rsidRPr="007A53BF">
        <w:t>1.5</w:t>
      </w:r>
      <w:r w:rsidRPr="007A53BF">
        <w:tab/>
        <w:t>Procedure for assessment</w:t>
      </w:r>
      <w:bookmarkEnd w:id="51"/>
      <w:bookmarkEnd w:id="52"/>
      <w:bookmarkEnd w:id="53"/>
    </w:p>
    <w:p w14:paraId="100BB9A8" w14:textId="6B482508" w:rsidR="00020CB3" w:rsidRPr="003E3CC7" w:rsidRDefault="00020CB3" w:rsidP="0000510D">
      <w:pPr>
        <w:keepNext/>
        <w:keepLines/>
      </w:pPr>
      <w:r w:rsidRPr="00AC782C">
        <w:t xml:space="preserve">The </w:t>
      </w:r>
      <w:r>
        <w:t xml:space="preserve">application was </w:t>
      </w:r>
      <w:r w:rsidRPr="00AC782C">
        <w:t xml:space="preserve">assessed under the Major </w:t>
      </w:r>
      <w:r>
        <w:t>p</w:t>
      </w:r>
      <w:r w:rsidRPr="00AC782C">
        <w:t>rocedure</w:t>
      </w:r>
      <w:r>
        <w:t xml:space="preserve">. FSANZ extended the consideration period for the application by 6 months under subsection 109(4) of the </w:t>
      </w:r>
      <w:r>
        <w:rPr>
          <w:i/>
        </w:rPr>
        <w:t xml:space="preserve">Food Standards Australia New Zealand Act </w:t>
      </w:r>
      <w:r w:rsidRPr="00A0385C">
        <w:rPr>
          <w:i/>
        </w:rPr>
        <w:t>1991</w:t>
      </w:r>
      <w:r>
        <w:t xml:space="preserve">. We determined that it was not practicable to consider the application within the 12 month consideration period (for a Major procedure) due to its complexity. </w:t>
      </w:r>
    </w:p>
    <w:p w14:paraId="7762FA90" w14:textId="77777777" w:rsidR="00422EC9" w:rsidRDefault="007A53BF" w:rsidP="00422EC9">
      <w:pPr>
        <w:pStyle w:val="Heading2"/>
      </w:pPr>
      <w:bookmarkStart w:id="54" w:name="_Toc22303662"/>
      <w:bookmarkStart w:id="55" w:name="_Toc22650325"/>
      <w:r>
        <w:t>1</w:t>
      </w:r>
      <w:r w:rsidR="00422EC9">
        <w:t>.6</w:t>
      </w:r>
      <w:r w:rsidR="00422EC9">
        <w:tab/>
      </w:r>
      <w:r w:rsidR="00422EC9" w:rsidRPr="00932F14">
        <w:t>Decision</w:t>
      </w:r>
      <w:bookmarkEnd w:id="54"/>
      <w:bookmarkEnd w:id="55"/>
    </w:p>
    <w:p w14:paraId="2B3359A1" w14:textId="0A9E7FC7" w:rsidR="00401ADE" w:rsidRDefault="00422EC9" w:rsidP="002C1A3B">
      <w:r>
        <w:t xml:space="preserve">The draft </w:t>
      </w:r>
      <w:r w:rsidR="00E30092" w:rsidRPr="0003146A">
        <w:t>variation</w:t>
      </w:r>
      <w:r w:rsidR="00FC5D95" w:rsidRPr="0003146A">
        <w:t xml:space="preserve"> </w:t>
      </w:r>
      <w:r>
        <w:t>as proposed following assessment was approved</w:t>
      </w:r>
      <w:r w:rsidR="003F56FE">
        <w:t xml:space="preserve"> with one amendment</w:t>
      </w:r>
      <w:r w:rsidRPr="0003146A">
        <w:t>.</w:t>
      </w:r>
      <w:r w:rsidR="003F56FE">
        <w:t xml:space="preserve"> The amendment was required to correct a typographical error.</w:t>
      </w:r>
      <w:r w:rsidR="002C1A3B">
        <w:t xml:space="preserve"> </w:t>
      </w:r>
      <w:r w:rsidR="002C1A3B" w:rsidRPr="003A7725">
        <w:t xml:space="preserve">The </w:t>
      </w:r>
      <w:r w:rsidR="002C1A3B" w:rsidRPr="0003146A">
        <w:t>variation</w:t>
      </w:r>
      <w:r w:rsidR="002C1A3B">
        <w:t xml:space="preserve"> </w:t>
      </w:r>
      <w:r w:rsidR="002C1A3B" w:rsidRPr="00D26814">
        <w:t>takes effect on</w:t>
      </w:r>
      <w:r w:rsidR="002C1A3B">
        <w:t xml:space="preserve"> </w:t>
      </w:r>
      <w:r w:rsidR="0003146A">
        <w:t xml:space="preserve">gazettal. </w:t>
      </w:r>
      <w:r>
        <w:t xml:space="preserve">The </w:t>
      </w:r>
      <w:r w:rsidR="002C1A3B">
        <w:t xml:space="preserve">approved </w:t>
      </w:r>
      <w:r>
        <w:t xml:space="preserve">draft </w:t>
      </w:r>
      <w:r w:rsidR="00020CB3" w:rsidRPr="0003146A">
        <w:t>variation</w:t>
      </w:r>
      <w:r>
        <w:t xml:space="preserve"> </w:t>
      </w:r>
      <w:r w:rsidR="005E06C0">
        <w:t xml:space="preserve">is </w:t>
      </w:r>
      <w:r>
        <w:t xml:space="preserve">at </w:t>
      </w:r>
      <w:r w:rsidRPr="007C22CB">
        <w:t xml:space="preserve">Attachment A. </w:t>
      </w:r>
    </w:p>
    <w:p w14:paraId="6C023DF1" w14:textId="77777777" w:rsidR="00401ADE" w:rsidRDefault="00401ADE" w:rsidP="00401ADE"/>
    <w:p w14:paraId="3C11E358" w14:textId="413A6CB4" w:rsidR="002C1A3B" w:rsidRPr="0003146A"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0B6B8474" w14:textId="77777777" w:rsidR="0012388D" w:rsidRDefault="007A53BF" w:rsidP="00755F02">
      <w:pPr>
        <w:pStyle w:val="Heading1"/>
      </w:pPr>
      <w:bookmarkStart w:id="56" w:name="_Toc22303663"/>
      <w:bookmarkStart w:id="57" w:name="_Toc22650326"/>
      <w:bookmarkStart w:id="58" w:name="_Toc11735630"/>
      <w:bookmarkStart w:id="59" w:name="_Toc29883114"/>
      <w:bookmarkStart w:id="60" w:name="_Toc41906801"/>
      <w:bookmarkStart w:id="61" w:name="_Toc41907548"/>
      <w:bookmarkStart w:id="62" w:name="_Toc120358578"/>
      <w:bookmarkStart w:id="63" w:name="_Toc175381435"/>
      <w:bookmarkEnd w:id="6"/>
      <w:bookmarkEnd w:id="7"/>
      <w:bookmarkEnd w:id="8"/>
      <w:bookmarkEnd w:id="9"/>
      <w:bookmarkEnd w:id="10"/>
      <w:r>
        <w:t>2</w:t>
      </w:r>
      <w:r w:rsidR="00AC428E">
        <w:tab/>
      </w:r>
      <w:r w:rsidR="00AF387F" w:rsidRPr="00CC560B">
        <w:t xml:space="preserve">Summary </w:t>
      </w:r>
      <w:r w:rsidR="00AF387F" w:rsidRPr="000B6AF2">
        <w:rPr>
          <w:u w:color="FFFF00"/>
        </w:rPr>
        <w:t>of</w:t>
      </w:r>
      <w:r w:rsidR="00AF387F" w:rsidRPr="00CC560B">
        <w:t xml:space="preserve"> the findings</w:t>
      </w:r>
      <w:bookmarkEnd w:id="56"/>
      <w:bookmarkEnd w:id="57"/>
    </w:p>
    <w:p w14:paraId="36C513E2" w14:textId="7ABBC7B7" w:rsidR="007A53BF" w:rsidRPr="002C1A3B" w:rsidRDefault="007A53BF" w:rsidP="007A53BF">
      <w:pPr>
        <w:pStyle w:val="Heading2"/>
      </w:pPr>
      <w:bookmarkStart w:id="64" w:name="_Toc300933438"/>
      <w:bookmarkStart w:id="65" w:name="_Toc370223471"/>
      <w:bookmarkStart w:id="66" w:name="_Toc370225386"/>
      <w:bookmarkStart w:id="67" w:name="_Toc22303664"/>
      <w:bookmarkStart w:id="68" w:name="_Toc22650327"/>
      <w:bookmarkStart w:id="69" w:name="_Toc286391009"/>
      <w:bookmarkStart w:id="70" w:name="_Toc300933425"/>
      <w:bookmarkStart w:id="71" w:name="_Toc309291838"/>
      <w:bookmarkStart w:id="72" w:name="_Toc309385455"/>
      <w:bookmarkStart w:id="73" w:name="_Toc120358583"/>
      <w:bookmarkStart w:id="74" w:name="_Toc175381440"/>
      <w:r w:rsidRPr="002C1A3B">
        <w:t>2.1</w:t>
      </w:r>
      <w:r w:rsidRPr="002C1A3B">
        <w:tab/>
        <w:t xml:space="preserve">Summary of issues raised </w:t>
      </w:r>
      <w:bookmarkEnd w:id="64"/>
      <w:r w:rsidRPr="002C1A3B">
        <w:t>in submissions</w:t>
      </w:r>
      <w:bookmarkEnd w:id="65"/>
      <w:bookmarkEnd w:id="66"/>
      <w:bookmarkEnd w:id="67"/>
      <w:bookmarkEnd w:id="68"/>
    </w:p>
    <w:p w14:paraId="5F081348" w14:textId="0EE3A6D2" w:rsidR="00A36FFC" w:rsidRDefault="00113388" w:rsidP="0080109D">
      <w:pPr>
        <w:rPr>
          <w:rFonts w:cs="Arial"/>
        </w:rPr>
      </w:pPr>
      <w:r w:rsidRPr="00113388">
        <w:t>Twenty</w:t>
      </w:r>
      <w:r w:rsidR="007D3207">
        <w:t>-one</w:t>
      </w:r>
      <w:r w:rsidRPr="00113388">
        <w:t xml:space="preserve"> submissions were received</w:t>
      </w:r>
      <w:r>
        <w:t xml:space="preserve">: </w:t>
      </w:r>
      <w:r w:rsidR="00107AAA">
        <w:t xml:space="preserve">6 </w:t>
      </w:r>
      <w:r>
        <w:t xml:space="preserve">from jurisdictions, </w:t>
      </w:r>
      <w:r w:rsidR="008B3A95">
        <w:t>1</w:t>
      </w:r>
      <w:r>
        <w:t xml:space="preserve"> from </w:t>
      </w:r>
      <w:r w:rsidR="00E04363">
        <w:t xml:space="preserve">a </w:t>
      </w:r>
      <w:r>
        <w:t>healthcare professional</w:t>
      </w:r>
      <w:r w:rsidR="00E04363">
        <w:t xml:space="preserve"> organisation</w:t>
      </w:r>
      <w:r w:rsidR="008B3A95">
        <w:t xml:space="preserve">, 1 from a consumer group </w:t>
      </w:r>
      <w:r>
        <w:t xml:space="preserve">and </w:t>
      </w:r>
      <w:r w:rsidR="008B3A95">
        <w:t xml:space="preserve">13 </w:t>
      </w:r>
      <w:r>
        <w:t xml:space="preserve">from industry and industry groups. </w:t>
      </w:r>
      <w:r>
        <w:rPr>
          <w:rFonts w:cs="Arial"/>
        </w:rPr>
        <w:t>Submissions can be accessed on the FSANZ website here</w:t>
      </w:r>
      <w:r w:rsidR="008B3A95">
        <w:rPr>
          <w:rFonts w:cs="Arial"/>
        </w:rPr>
        <w:t xml:space="preserve"> </w:t>
      </w:r>
      <w:hyperlink r:id="rId25" w:history="1">
        <w:r w:rsidR="008B3A95" w:rsidRPr="008B3A95">
          <w:rPr>
            <w:rStyle w:val="Hyperlink"/>
            <w:rFonts w:cs="Arial"/>
          </w:rPr>
          <w:t>http://www.foodstandards.gov.au/code/applications/Pages/A1155–2’-FL-and-LNnT-in-infant-formula-and-other-products-.aspx</w:t>
        </w:r>
      </w:hyperlink>
      <w:r w:rsidR="0080109D">
        <w:rPr>
          <w:rFonts w:cs="Arial"/>
        </w:rPr>
        <w:t xml:space="preserve">. </w:t>
      </w:r>
    </w:p>
    <w:p w14:paraId="7216DA5E" w14:textId="77777777" w:rsidR="00A36FFC" w:rsidRDefault="00A36FFC" w:rsidP="0080109D">
      <w:pPr>
        <w:rPr>
          <w:rFonts w:cs="Arial"/>
        </w:rPr>
      </w:pPr>
    </w:p>
    <w:p w14:paraId="70DF2ACD" w14:textId="31994404" w:rsidR="00A275FF" w:rsidRDefault="00113388" w:rsidP="0080109D">
      <w:pPr>
        <w:rPr>
          <w:lang w:val="en-AU"/>
        </w:rPr>
        <w:sectPr w:rsidR="00A275FF" w:rsidSect="007D6F90">
          <w:pgSz w:w="11906" w:h="16838" w:code="9"/>
          <w:pgMar w:top="1418" w:right="1418" w:bottom="1418" w:left="1418" w:header="709" w:footer="709" w:gutter="0"/>
          <w:cols w:space="708"/>
          <w:docGrid w:linePitch="360"/>
        </w:sectPr>
      </w:pPr>
      <w:r>
        <w:rPr>
          <w:rFonts w:cs="Arial"/>
        </w:rPr>
        <w:t>Twelve submissions supported the addition of the ingredients to infant formula products and formulated supplementary foods for young children</w:t>
      </w:r>
      <w:r w:rsidR="00F93522">
        <w:rPr>
          <w:rFonts w:cs="Arial"/>
        </w:rPr>
        <w:t>. S</w:t>
      </w:r>
      <w:r>
        <w:rPr>
          <w:rFonts w:cs="Arial"/>
        </w:rPr>
        <w:t xml:space="preserve">everal issues </w:t>
      </w:r>
      <w:r w:rsidR="00F93522">
        <w:rPr>
          <w:rFonts w:cs="Arial"/>
        </w:rPr>
        <w:t xml:space="preserve">were raised in relation to </w:t>
      </w:r>
      <w:r>
        <w:rPr>
          <w:rFonts w:cs="Arial"/>
        </w:rPr>
        <w:t>the labelling restrictions</w:t>
      </w:r>
      <w:r w:rsidR="00F93522">
        <w:rPr>
          <w:rFonts w:cs="Arial"/>
        </w:rPr>
        <w:t xml:space="preserve"> and </w:t>
      </w:r>
      <w:r>
        <w:rPr>
          <w:rFonts w:cs="Arial"/>
        </w:rPr>
        <w:t xml:space="preserve">prohibition of use with existing GOS and ITF </w:t>
      </w:r>
      <w:r w:rsidR="00A87137">
        <w:rPr>
          <w:rFonts w:cs="Arial"/>
        </w:rPr>
        <w:t>(</w:t>
      </w:r>
      <w:r>
        <w:rPr>
          <w:rFonts w:cs="Arial"/>
        </w:rPr>
        <w:t>as noted in Table</w:t>
      </w:r>
      <w:r w:rsidR="00A87137">
        <w:rPr>
          <w:rFonts w:cs="Arial"/>
        </w:rPr>
        <w:t>s</w:t>
      </w:r>
      <w:r>
        <w:rPr>
          <w:rFonts w:cs="Arial"/>
        </w:rPr>
        <w:t xml:space="preserve"> 3</w:t>
      </w:r>
      <w:r w:rsidR="00A87137">
        <w:rPr>
          <w:rFonts w:cs="Arial"/>
        </w:rPr>
        <w:t>a, b, and c)</w:t>
      </w:r>
      <w:r w:rsidR="004B43B8">
        <w:rPr>
          <w:rFonts w:cs="Arial"/>
        </w:rPr>
        <w:t xml:space="preserve">. </w:t>
      </w:r>
      <w:r w:rsidR="00107AAA">
        <w:rPr>
          <w:rFonts w:cs="Arial"/>
        </w:rPr>
        <w:t xml:space="preserve">Five </w:t>
      </w:r>
      <w:r>
        <w:rPr>
          <w:rFonts w:cs="Arial"/>
        </w:rPr>
        <w:t xml:space="preserve">Australian jurisdictions did not support the addition of the </w:t>
      </w:r>
      <w:r w:rsidR="008B3A95">
        <w:rPr>
          <w:rFonts w:cs="Arial"/>
        </w:rPr>
        <w:t xml:space="preserve">oligosaccharides to infant formula products or FSFYC. Industry supported the permission but raised concerns related to the labelling restrictions. </w:t>
      </w:r>
      <w:r w:rsidR="0080109D" w:rsidRPr="00330E58">
        <w:rPr>
          <w:lang w:val="en-AU"/>
        </w:rPr>
        <w:t>The following table</w:t>
      </w:r>
      <w:r w:rsidR="0080109D">
        <w:rPr>
          <w:lang w:val="en-AU"/>
        </w:rPr>
        <w:t>s</w:t>
      </w:r>
      <w:r w:rsidR="0080109D" w:rsidRPr="00330E58">
        <w:rPr>
          <w:lang w:val="en-AU"/>
        </w:rPr>
        <w:t xml:space="preserve"> summarise the issues raised in submissions and FSANZ’s response.</w:t>
      </w:r>
    </w:p>
    <w:p w14:paraId="4198925A" w14:textId="20F3222B" w:rsidR="007A53BF" w:rsidRDefault="007A53BF" w:rsidP="00B461DB">
      <w:pPr>
        <w:pStyle w:val="FSTableHeading"/>
      </w:pPr>
      <w:r>
        <w:t xml:space="preserve">Table </w:t>
      </w:r>
      <w:r w:rsidR="00113388">
        <w:t>3</w:t>
      </w:r>
      <w:r w:rsidR="008B3A95">
        <w:t>a</w:t>
      </w:r>
      <w:r>
        <w:t>: Summary of issues</w:t>
      </w:r>
      <w:r w:rsidR="00210F54">
        <w:t>: safety</w:t>
      </w:r>
      <w:r w:rsidR="002F1908">
        <w:t xml:space="preserve">, </w:t>
      </w:r>
      <w:r w:rsidR="00210F54">
        <w:t xml:space="preserve">evidence </w:t>
      </w:r>
      <w:r w:rsidR="002F1908">
        <w:t xml:space="preserve">and approach </w:t>
      </w:r>
      <w:r w:rsidR="00210F54">
        <w:t xml:space="preserve">to support addition </w:t>
      </w:r>
    </w:p>
    <w:tbl>
      <w:tblPr>
        <w:tblStyle w:val="MediumShading1-Accent3"/>
        <w:tblW w:w="136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2108"/>
        <w:gridCol w:w="6378"/>
      </w:tblGrid>
      <w:tr w:rsidR="0076228A" w14:paraId="62122DE9" w14:textId="77777777" w:rsidTr="000D4A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709AC776" w14:textId="77777777" w:rsidR="007A53BF" w:rsidRPr="00562618" w:rsidRDefault="007A53BF" w:rsidP="008C4E76">
            <w:pPr>
              <w:pStyle w:val="FSTableHeading"/>
              <w:rPr>
                <w:b/>
                <w:sz w:val="22"/>
              </w:rPr>
            </w:pPr>
            <w:r w:rsidRPr="00562618">
              <w:rPr>
                <w:b/>
                <w:sz w:val="22"/>
              </w:rPr>
              <w:t>Issue</w:t>
            </w:r>
          </w:p>
        </w:tc>
        <w:tc>
          <w:tcPr>
            <w:tcW w:w="2108" w:type="dxa"/>
            <w:tcBorders>
              <w:left w:val="single" w:sz="4" w:space="0" w:color="auto"/>
              <w:bottom w:val="single" w:sz="4" w:space="0" w:color="auto"/>
              <w:right w:val="single" w:sz="4" w:space="0" w:color="auto"/>
            </w:tcBorders>
          </w:tcPr>
          <w:p w14:paraId="7CE2FC3D" w14:textId="77777777" w:rsidR="007A53BF" w:rsidRPr="00562618"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sz w:val="22"/>
              </w:rPr>
            </w:pPr>
            <w:r w:rsidRPr="00562618">
              <w:rPr>
                <w:b/>
                <w:sz w:val="22"/>
              </w:rPr>
              <w:t>Raised by</w:t>
            </w:r>
          </w:p>
        </w:tc>
        <w:tc>
          <w:tcPr>
            <w:tcW w:w="6378" w:type="dxa"/>
            <w:tcBorders>
              <w:left w:val="single" w:sz="4" w:space="0" w:color="auto"/>
              <w:bottom w:val="single" w:sz="4" w:space="0" w:color="auto"/>
            </w:tcBorders>
          </w:tcPr>
          <w:p w14:paraId="2AF3B276" w14:textId="44420E89" w:rsidR="001D43F6" w:rsidRPr="00562618" w:rsidRDefault="007A53BF" w:rsidP="006F2433">
            <w:pPr>
              <w:pStyle w:val="FSTableHeading"/>
              <w:cnfStyle w:val="100000000000" w:firstRow="1" w:lastRow="0" w:firstColumn="0" w:lastColumn="0" w:oddVBand="0" w:evenVBand="0" w:oddHBand="0" w:evenHBand="0" w:firstRowFirstColumn="0" w:firstRowLastColumn="0" w:lastRowFirstColumn="0" w:lastRowLastColumn="0"/>
              <w:rPr>
                <w:b/>
                <w:sz w:val="22"/>
              </w:rPr>
            </w:pPr>
            <w:r w:rsidRPr="00562618">
              <w:rPr>
                <w:b/>
                <w:sz w:val="22"/>
              </w:rPr>
              <w:t>FSANZ response</w:t>
            </w:r>
            <w:r w:rsidR="001D43F6" w:rsidRPr="00562618">
              <w:rPr>
                <w:b/>
                <w:sz w:val="22"/>
              </w:rPr>
              <w:t xml:space="preserve"> </w:t>
            </w:r>
          </w:p>
        </w:tc>
      </w:tr>
      <w:tr w:rsidR="00210F54" w14:paraId="04838FBA" w14:textId="77777777" w:rsidTr="000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8" w:type="dxa"/>
            <w:gridSpan w:val="3"/>
            <w:tcBorders>
              <w:bottom w:val="single" w:sz="4" w:space="0" w:color="auto"/>
            </w:tcBorders>
          </w:tcPr>
          <w:p w14:paraId="6C40943B" w14:textId="79D62EBA" w:rsidR="00210F54" w:rsidRPr="000778D6" w:rsidRDefault="002F1908" w:rsidP="002F1908">
            <w:pPr>
              <w:pStyle w:val="FSTableText"/>
              <w:spacing w:before="60"/>
            </w:pPr>
            <w:r w:rsidRPr="002F1908">
              <w:t>FSANZ Approach</w:t>
            </w:r>
            <w:r>
              <w:rPr>
                <w:sz w:val="22"/>
              </w:rPr>
              <w:t xml:space="preserve"> </w:t>
            </w:r>
          </w:p>
        </w:tc>
      </w:tr>
      <w:tr w:rsidR="002F1908" w14:paraId="392361CB" w14:textId="77777777" w:rsidTr="000D4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64566C96" w14:textId="7B4641AD" w:rsidR="002F1908" w:rsidRDefault="002F1908" w:rsidP="002F1908">
            <w:pPr>
              <w:pStyle w:val="FSTableText"/>
              <w:rPr>
                <w:b w:val="0"/>
              </w:rPr>
            </w:pPr>
            <w:r w:rsidRPr="000A4DFF">
              <w:rPr>
                <w:b w:val="0"/>
              </w:rPr>
              <w:t>FSANZ has not adequately addressed the concerns raised by Jurisdictions at 1st CFS</w:t>
            </w:r>
          </w:p>
          <w:p w14:paraId="31BE1290" w14:textId="0B416772" w:rsidR="002F1908" w:rsidRDefault="002F1908" w:rsidP="002F1908">
            <w:pPr>
              <w:pStyle w:val="FSTableText"/>
              <w:spacing w:before="60"/>
            </w:pPr>
          </w:p>
        </w:tc>
        <w:tc>
          <w:tcPr>
            <w:tcW w:w="2108" w:type="dxa"/>
            <w:tcBorders>
              <w:left w:val="single" w:sz="4" w:space="0" w:color="auto"/>
              <w:right w:val="single" w:sz="4" w:space="0" w:color="auto"/>
            </w:tcBorders>
          </w:tcPr>
          <w:p w14:paraId="63DADA7A" w14:textId="62909487" w:rsidR="002F1908" w:rsidRDefault="002F1908" w:rsidP="002F1908">
            <w:pPr>
              <w:pStyle w:val="FSTableText"/>
              <w:spacing w:before="60"/>
              <w:cnfStyle w:val="000000010000" w:firstRow="0" w:lastRow="0" w:firstColumn="0" w:lastColumn="0" w:oddVBand="0" w:evenVBand="0" w:oddHBand="0" w:evenHBand="1" w:firstRowFirstColumn="0" w:firstRowLastColumn="0" w:lastRowFirstColumn="0" w:lastRowLastColumn="0"/>
            </w:pPr>
            <w:r w:rsidRPr="001963A1">
              <w:rPr>
                <w:bCs/>
              </w:rPr>
              <w:t>WA DoH</w:t>
            </w:r>
            <w:r>
              <w:t xml:space="preserve"> </w:t>
            </w:r>
          </w:p>
        </w:tc>
        <w:tc>
          <w:tcPr>
            <w:tcW w:w="6378" w:type="dxa"/>
            <w:tcBorders>
              <w:left w:val="single" w:sz="4" w:space="0" w:color="auto"/>
            </w:tcBorders>
          </w:tcPr>
          <w:p w14:paraId="5F9ED74F" w14:textId="69B92355" w:rsidR="002F1908" w:rsidRDefault="002F1908" w:rsidP="002F1908">
            <w:pPr>
              <w:widowControl/>
              <w:spacing w:after="120"/>
              <w:cnfStyle w:val="000000010000" w:firstRow="0" w:lastRow="0" w:firstColumn="0" w:lastColumn="0" w:oddVBand="0" w:evenVBand="0" w:oddHBand="0" w:evenHBand="1" w:firstRowFirstColumn="0" w:firstRowLastColumn="0" w:lastRowFirstColumn="0" w:lastRowLastColumn="0"/>
              <w:rPr>
                <w:rFonts w:cs="Arial"/>
                <w:sz w:val="20"/>
                <w:lang w:val="en-AU"/>
              </w:rPr>
            </w:pPr>
            <w:r>
              <w:rPr>
                <w:rFonts w:cs="Arial"/>
                <w:sz w:val="20"/>
                <w:lang w:val="en-AU"/>
              </w:rPr>
              <w:t xml:space="preserve">FSANZ has carefully </w:t>
            </w:r>
            <w:r w:rsidR="00F87CB5">
              <w:rPr>
                <w:rFonts w:cs="Arial"/>
                <w:sz w:val="20"/>
                <w:lang w:val="en-AU"/>
              </w:rPr>
              <w:t xml:space="preserve">weighed and </w:t>
            </w:r>
            <w:r>
              <w:rPr>
                <w:rFonts w:cs="Arial"/>
                <w:sz w:val="20"/>
                <w:lang w:val="en-AU"/>
              </w:rPr>
              <w:t>considered the concerns raised by all submitters. We consider that the issues raised in response to the 1</w:t>
            </w:r>
            <w:r w:rsidRPr="00F336F6">
              <w:rPr>
                <w:rFonts w:cs="Arial"/>
                <w:sz w:val="20"/>
                <w:vertAlign w:val="superscript"/>
                <w:lang w:val="en-AU"/>
              </w:rPr>
              <w:t>st</w:t>
            </w:r>
            <w:r>
              <w:rPr>
                <w:rFonts w:cs="Arial"/>
                <w:sz w:val="20"/>
                <w:lang w:val="en-AU"/>
              </w:rPr>
              <w:t xml:space="preserve"> CFS were given due regard in the development of the approach to the 2</w:t>
            </w:r>
            <w:r w:rsidRPr="00F336F6">
              <w:rPr>
                <w:rFonts w:cs="Arial"/>
                <w:sz w:val="20"/>
                <w:vertAlign w:val="superscript"/>
                <w:lang w:val="en-AU"/>
              </w:rPr>
              <w:t>nd</w:t>
            </w:r>
            <w:r>
              <w:rPr>
                <w:rFonts w:cs="Arial"/>
                <w:sz w:val="20"/>
                <w:lang w:val="en-AU"/>
              </w:rPr>
              <w:t xml:space="preserve"> CFS. </w:t>
            </w:r>
          </w:p>
          <w:p w14:paraId="6BB6CA7D" w14:textId="18FF04AC" w:rsidR="002F1908" w:rsidRPr="00F336F6" w:rsidRDefault="002F1908" w:rsidP="002F1908">
            <w:pPr>
              <w:widowControl/>
              <w:spacing w:after="120"/>
              <w:cnfStyle w:val="000000010000" w:firstRow="0" w:lastRow="0" w:firstColumn="0" w:lastColumn="0" w:oddVBand="0" w:evenVBand="0" w:oddHBand="0" w:evenHBand="1" w:firstRowFirstColumn="0" w:firstRowLastColumn="0" w:lastRowFirstColumn="0" w:lastRowLastColumn="0"/>
              <w:rPr>
                <w:rFonts w:cs="Arial"/>
                <w:sz w:val="20"/>
                <w:lang w:val="en-AU"/>
              </w:rPr>
            </w:pPr>
            <w:r w:rsidRPr="00F336F6">
              <w:rPr>
                <w:rFonts w:cs="Arial"/>
                <w:sz w:val="20"/>
                <w:lang w:val="en-AU"/>
              </w:rPr>
              <w:t xml:space="preserve">The proposed level is safe, aligns with higher levels used internationally and will expedite </w:t>
            </w:r>
            <w:r w:rsidR="00F87CB5">
              <w:rPr>
                <w:rFonts w:cs="Arial"/>
                <w:sz w:val="20"/>
                <w:lang w:val="en-AU"/>
              </w:rPr>
              <w:t xml:space="preserve">assessment of </w:t>
            </w:r>
            <w:r w:rsidRPr="00F336F6">
              <w:rPr>
                <w:rFonts w:cs="Arial"/>
                <w:sz w:val="20"/>
                <w:lang w:val="en-AU"/>
              </w:rPr>
              <w:t xml:space="preserve">future </w:t>
            </w:r>
            <w:r w:rsidR="00F87CB5">
              <w:rPr>
                <w:rFonts w:cs="Arial"/>
                <w:sz w:val="20"/>
                <w:lang w:val="en-AU"/>
              </w:rPr>
              <w:t xml:space="preserve">similar </w:t>
            </w:r>
            <w:r w:rsidRPr="00F336F6">
              <w:rPr>
                <w:rFonts w:cs="Arial"/>
                <w:sz w:val="20"/>
                <w:lang w:val="en-AU"/>
              </w:rPr>
              <w:t>applications.</w:t>
            </w:r>
            <w:r>
              <w:rPr>
                <w:rFonts w:cs="Arial"/>
                <w:sz w:val="20"/>
                <w:lang w:val="en-AU"/>
              </w:rPr>
              <w:t xml:space="preserve"> The assessment had regard to two policy guidelines. </w:t>
            </w:r>
          </w:p>
          <w:p w14:paraId="5DFC750D" w14:textId="743DA094" w:rsidR="002F1908" w:rsidRDefault="002F1908" w:rsidP="002F1908">
            <w:pPr>
              <w:pStyle w:val="FSTableText"/>
              <w:cnfStyle w:val="000000010000" w:firstRow="0" w:lastRow="0" w:firstColumn="0" w:lastColumn="0" w:oddVBand="0" w:evenVBand="0" w:oddHBand="0" w:evenHBand="1" w:firstRowFirstColumn="0" w:firstRowLastColumn="0" w:lastRowFirstColumn="0" w:lastRowLastColumn="0"/>
            </w:pPr>
            <w:r>
              <w:rPr>
                <w:lang w:val="en-AU"/>
              </w:rPr>
              <w:t xml:space="preserve">The labelling prohibition was introduced in response to concerns raised by stakeholders including the Jurisdictions. </w:t>
            </w:r>
          </w:p>
        </w:tc>
      </w:tr>
      <w:tr w:rsidR="002E3D4A" w14:paraId="5B4750B4" w14:textId="77777777" w:rsidTr="000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4E515CBD" w14:textId="72791D01" w:rsidR="002E3D4A" w:rsidRDefault="002E3D4A" w:rsidP="002E3D4A">
            <w:pPr>
              <w:spacing w:before="60"/>
              <w:rPr>
                <w:rFonts w:cs="Arial"/>
                <w:b w:val="0"/>
                <w:sz w:val="20"/>
                <w:szCs w:val="20"/>
              </w:rPr>
            </w:pPr>
            <w:r w:rsidRPr="00D935A7">
              <w:rPr>
                <w:rFonts w:cs="Arial"/>
                <w:b w:val="0"/>
                <w:sz w:val="20"/>
                <w:szCs w:val="20"/>
              </w:rPr>
              <w:t xml:space="preserve">Addition to infant formula products is not consistent with the </w:t>
            </w:r>
            <w:r w:rsidRPr="00B56B17">
              <w:rPr>
                <w:rFonts w:cs="Arial"/>
                <w:b w:val="0"/>
                <w:i/>
                <w:sz w:val="20"/>
                <w:szCs w:val="20"/>
              </w:rPr>
              <w:t>Ministerial Policy Guideline for the Regulation of Infant Formula Products</w:t>
            </w:r>
            <w:r w:rsidRPr="00367DB5">
              <w:rPr>
                <w:rFonts w:cs="Arial"/>
                <w:b w:val="0"/>
                <w:sz w:val="20"/>
                <w:szCs w:val="20"/>
              </w:rPr>
              <w:t xml:space="preserve"> </w:t>
            </w:r>
            <w:r>
              <w:rPr>
                <w:rFonts w:cs="Arial"/>
                <w:b w:val="0"/>
                <w:color w:val="000000"/>
                <w:sz w:val="20"/>
                <w:szCs w:val="20"/>
              </w:rPr>
              <w:t xml:space="preserve">as reliable evidence has not been provided to support beneficial effects. </w:t>
            </w:r>
          </w:p>
          <w:p w14:paraId="225E5A06" w14:textId="38A394EC" w:rsidR="002E3D4A" w:rsidRPr="000A4DFF" w:rsidRDefault="002E3D4A" w:rsidP="002E3D4A">
            <w:pPr>
              <w:pStyle w:val="FSTableText"/>
              <w:rPr>
                <w:b w:val="0"/>
              </w:rPr>
            </w:pPr>
          </w:p>
        </w:tc>
        <w:tc>
          <w:tcPr>
            <w:tcW w:w="2108" w:type="dxa"/>
            <w:tcBorders>
              <w:left w:val="single" w:sz="4" w:space="0" w:color="auto"/>
              <w:right w:val="single" w:sz="4" w:space="0" w:color="auto"/>
            </w:tcBorders>
          </w:tcPr>
          <w:p w14:paraId="18B051E1" w14:textId="225FAD1B" w:rsidR="002E3D4A" w:rsidRPr="001963A1" w:rsidRDefault="002E3D4A" w:rsidP="002E3D4A">
            <w:pPr>
              <w:pStyle w:val="FSTableText"/>
              <w:spacing w:before="60"/>
              <w:cnfStyle w:val="000000100000" w:firstRow="0" w:lastRow="0" w:firstColumn="0" w:lastColumn="0" w:oddVBand="0" w:evenVBand="0" w:oddHBand="1" w:evenHBand="0" w:firstRowFirstColumn="0" w:firstRowLastColumn="0" w:lastRowFirstColumn="0" w:lastRowLastColumn="0"/>
              <w:rPr>
                <w:bCs/>
              </w:rPr>
            </w:pPr>
            <w:r w:rsidRPr="00562618">
              <w:t>Vic</w:t>
            </w:r>
            <w:r>
              <w:t xml:space="preserve"> Govt</w:t>
            </w:r>
            <w:r w:rsidRPr="00562618">
              <w:t>, WA DoH, NSWFA, SA Health</w:t>
            </w:r>
          </w:p>
        </w:tc>
        <w:tc>
          <w:tcPr>
            <w:tcW w:w="6378" w:type="dxa"/>
            <w:tcBorders>
              <w:left w:val="single" w:sz="4" w:space="0" w:color="auto"/>
            </w:tcBorders>
          </w:tcPr>
          <w:p w14:paraId="4B80B49B" w14:textId="77777777" w:rsidR="002E3D4A" w:rsidRPr="006F2433" w:rsidRDefault="002E3D4A" w:rsidP="002E3D4A">
            <w:pPr>
              <w:widowControl/>
              <w:spacing w:before="60"/>
              <w:cnfStyle w:val="000000100000" w:firstRow="0" w:lastRow="0" w:firstColumn="0" w:lastColumn="0" w:oddVBand="0" w:evenVBand="0" w:oddHBand="1" w:evenHBand="0" w:firstRowFirstColumn="0" w:firstRowLastColumn="0" w:lastRowFirstColumn="0" w:lastRowLastColumn="0"/>
              <w:rPr>
                <w:sz w:val="20"/>
                <w:lang w:val="en-AU" w:bidi="ar-SA"/>
              </w:rPr>
            </w:pPr>
            <w:r w:rsidRPr="006F2433">
              <w:rPr>
                <w:sz w:val="20"/>
                <w:lang w:val="en-AU" w:bidi="ar-SA"/>
              </w:rPr>
              <w:t>FSANZ</w:t>
            </w:r>
            <w:r>
              <w:rPr>
                <w:sz w:val="20"/>
                <w:lang w:val="en-AU" w:bidi="ar-SA"/>
              </w:rPr>
              <w:t>’s consideration of the Ministerial Policy Guidelines is at SD2.</w:t>
            </w:r>
            <w:r w:rsidRPr="006F2433">
              <w:rPr>
                <w:sz w:val="20"/>
                <w:lang w:val="en-AU" w:bidi="ar-SA"/>
              </w:rPr>
              <w:t xml:space="preserve"> FSANZ has applied particular caution in this assessment (as referred to in the policy guideline), noting:</w:t>
            </w:r>
          </w:p>
          <w:p w14:paraId="239D894F" w14:textId="77777777" w:rsidR="002E3D4A" w:rsidRPr="006F2433" w:rsidRDefault="002E3D4A" w:rsidP="002E3D4A">
            <w:pPr>
              <w:pStyle w:val="FSBullet1"/>
              <w:numPr>
                <w:ilvl w:val="0"/>
                <w:numId w:val="39"/>
              </w:numPr>
              <w:ind w:left="260" w:hanging="260"/>
              <w:cnfStyle w:val="000000100000" w:firstRow="0" w:lastRow="0" w:firstColumn="0" w:lastColumn="0" w:oddVBand="0" w:evenVBand="0" w:oddHBand="1" w:evenHBand="0" w:firstRowFirstColumn="0" w:firstRowLastColumn="0" w:lastRowFirstColumn="0" w:lastRowLastColumn="0"/>
              <w:rPr>
                <w:sz w:val="20"/>
              </w:rPr>
            </w:pPr>
            <w:r w:rsidRPr="006F2433">
              <w:rPr>
                <w:sz w:val="20"/>
              </w:rPr>
              <w:t>The proposed addition is safe.</w:t>
            </w:r>
          </w:p>
          <w:p w14:paraId="6DA95DDC" w14:textId="77777777" w:rsidR="002E3D4A" w:rsidRPr="006F2433" w:rsidRDefault="002E3D4A" w:rsidP="002E3D4A">
            <w:pPr>
              <w:pStyle w:val="FSBullet1"/>
              <w:numPr>
                <w:ilvl w:val="0"/>
                <w:numId w:val="39"/>
              </w:numPr>
              <w:ind w:left="260" w:hanging="260"/>
              <w:cnfStyle w:val="000000100000" w:firstRow="0" w:lastRow="0" w:firstColumn="0" w:lastColumn="0" w:oddVBand="0" w:evenVBand="0" w:oddHBand="1" w:evenHBand="0" w:firstRowFirstColumn="0" w:firstRowLastColumn="0" w:lastRowFirstColumn="0" w:lastRowLastColumn="0"/>
              <w:rPr>
                <w:sz w:val="20"/>
              </w:rPr>
            </w:pPr>
            <w:r w:rsidRPr="006F2433">
              <w:rPr>
                <w:sz w:val="20"/>
              </w:rPr>
              <w:t>2′-FL and LNnT are present in human milk at the levels proposed</w:t>
            </w:r>
            <w:r>
              <w:rPr>
                <w:sz w:val="20"/>
              </w:rPr>
              <w:t xml:space="preserve"> which </w:t>
            </w:r>
            <w:r w:rsidRPr="006F2433">
              <w:rPr>
                <w:sz w:val="20"/>
              </w:rPr>
              <w:t xml:space="preserve">accords with the policy to use </w:t>
            </w:r>
            <w:r>
              <w:rPr>
                <w:sz w:val="20"/>
              </w:rPr>
              <w:t>breast milk</w:t>
            </w:r>
            <w:r w:rsidRPr="006F2433">
              <w:rPr>
                <w:sz w:val="20"/>
              </w:rPr>
              <w:t xml:space="preserve"> as the primary reference for the composition of infant formula and follow-on formula. </w:t>
            </w:r>
          </w:p>
          <w:p w14:paraId="1582A9AD" w14:textId="77777777" w:rsidR="002E3D4A" w:rsidRPr="00022C47" w:rsidRDefault="002E3D4A" w:rsidP="002E3D4A">
            <w:pPr>
              <w:pStyle w:val="FSBullet1"/>
              <w:numPr>
                <w:ilvl w:val="0"/>
                <w:numId w:val="39"/>
              </w:numPr>
              <w:ind w:left="260" w:hanging="260"/>
              <w:cnfStyle w:val="000000100000" w:firstRow="0" w:lastRow="0" w:firstColumn="0" w:lastColumn="0" w:oddVBand="0" w:evenVBand="0" w:oddHBand="1" w:evenHBand="0" w:firstRowFirstColumn="0" w:firstRowLastColumn="0" w:lastRowFirstColumn="0" w:lastRowLastColumn="0"/>
            </w:pPr>
            <w:r w:rsidRPr="00022C47">
              <w:rPr>
                <w:sz w:val="20"/>
              </w:rPr>
              <w:t>Evidence demonstrate</w:t>
            </w:r>
            <w:r>
              <w:rPr>
                <w:sz w:val="20"/>
              </w:rPr>
              <w:t>s</w:t>
            </w:r>
            <w:r w:rsidRPr="00022C47">
              <w:rPr>
                <w:sz w:val="20"/>
              </w:rPr>
              <w:t xml:space="preserve"> biological and mechanistic plausibility of the health effects and support</w:t>
            </w:r>
            <w:r>
              <w:rPr>
                <w:sz w:val="20"/>
              </w:rPr>
              <w:t xml:space="preserve">s </w:t>
            </w:r>
            <w:r w:rsidRPr="00022C47">
              <w:rPr>
                <w:sz w:val="20"/>
              </w:rPr>
              <w:t xml:space="preserve">a link to potential beneficial health outcomes. </w:t>
            </w:r>
          </w:p>
          <w:p w14:paraId="50B402ED" w14:textId="77777777" w:rsidR="002E3D4A" w:rsidRPr="00022C47" w:rsidRDefault="002E3D4A" w:rsidP="002E3D4A">
            <w:pPr>
              <w:pStyle w:val="FSBullet1"/>
              <w:numPr>
                <w:ilvl w:val="0"/>
                <w:numId w:val="39"/>
              </w:numPr>
              <w:ind w:left="260" w:hanging="260"/>
              <w:cnfStyle w:val="000000100000" w:firstRow="0" w:lastRow="0" w:firstColumn="0" w:lastColumn="0" w:oddVBand="0" w:evenVBand="0" w:oddHBand="1" w:evenHBand="0" w:firstRowFirstColumn="0" w:firstRowLastColumn="0" w:lastRowFirstColumn="0" w:lastRowLastColumn="0"/>
            </w:pPr>
            <w:r w:rsidRPr="00022C47">
              <w:rPr>
                <w:sz w:val="20"/>
              </w:rPr>
              <w:t xml:space="preserve">FSANZ considers the </w:t>
            </w:r>
            <w:r>
              <w:rPr>
                <w:sz w:val="20"/>
              </w:rPr>
              <w:t xml:space="preserve">best </w:t>
            </w:r>
            <w:r w:rsidRPr="00022C47">
              <w:rPr>
                <w:sz w:val="20"/>
              </w:rPr>
              <w:t>available evidence is appropriate for the purpose of compositional permission, noting the addition is safe and comparable to human milk.</w:t>
            </w:r>
          </w:p>
          <w:p w14:paraId="3F41D2F8" w14:textId="3D8D5816" w:rsidR="002E3D4A" w:rsidRDefault="002E3D4A" w:rsidP="002E3D4A">
            <w:pPr>
              <w:widowControl/>
              <w:spacing w:after="120"/>
              <w:cnfStyle w:val="000000100000" w:firstRow="0" w:lastRow="0" w:firstColumn="0" w:lastColumn="0" w:oddVBand="0" w:evenVBand="0" w:oddHBand="1" w:evenHBand="0" w:firstRowFirstColumn="0" w:firstRowLastColumn="0" w:lastRowFirstColumn="0" w:lastRowLastColumn="0"/>
              <w:rPr>
                <w:rFonts w:cs="Arial"/>
                <w:sz w:val="20"/>
                <w:lang w:val="en-AU"/>
              </w:rPr>
            </w:pPr>
          </w:p>
        </w:tc>
      </w:tr>
      <w:tr w:rsidR="002E3D4A" w14:paraId="287D8AFA" w14:textId="77777777" w:rsidTr="000D4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19CB932A" w14:textId="77777777" w:rsidR="002E3D4A" w:rsidRDefault="002E3D4A" w:rsidP="002E3D4A">
            <w:pPr>
              <w:pStyle w:val="FSTableText"/>
              <w:spacing w:before="60"/>
              <w:rPr>
                <w:b w:val="0"/>
              </w:rPr>
            </w:pPr>
            <w:r w:rsidRPr="000A4DFF">
              <w:rPr>
                <w:b w:val="0"/>
              </w:rPr>
              <w:t>Concerned about the level of evidence that FSANZ considers sufficient in this application.</w:t>
            </w:r>
          </w:p>
          <w:p w14:paraId="5F8D213B" w14:textId="24035AD2" w:rsidR="002E3D4A" w:rsidRDefault="002E3D4A" w:rsidP="002E3D4A">
            <w:pPr>
              <w:pStyle w:val="FSTableText"/>
              <w:spacing w:before="60"/>
              <w:rPr>
                <w:b w:val="0"/>
              </w:rPr>
            </w:pPr>
            <w:r w:rsidRPr="000A4DFF">
              <w:rPr>
                <w:b w:val="0"/>
              </w:rPr>
              <w:t>In particular, FSANZ has used the premise that ‘possible’ or ‘plausible’ effects is all that is required to meet the scientific evidence criteria of a ‘substantiated beneficial role in the normal growth and development of infants’</w:t>
            </w:r>
            <w:r>
              <w:rPr>
                <w:b w:val="0"/>
              </w:rPr>
              <w:t>.</w:t>
            </w:r>
          </w:p>
          <w:p w14:paraId="3C7DCDB8" w14:textId="1C23C80F" w:rsidR="002E3D4A" w:rsidRPr="002F1908" w:rsidRDefault="002E3D4A" w:rsidP="002E3D4A">
            <w:pPr>
              <w:rPr>
                <w:b w:val="0"/>
                <w:sz w:val="20"/>
              </w:rPr>
            </w:pPr>
            <w:r w:rsidRPr="002F1908">
              <w:rPr>
                <w:b w:val="0"/>
                <w:sz w:val="20"/>
              </w:rPr>
              <w:t>The Policy Guideline refers to a ‘substantiated beneficial role in the normal</w:t>
            </w:r>
            <w:r>
              <w:rPr>
                <w:b w:val="0"/>
                <w:sz w:val="20"/>
              </w:rPr>
              <w:t xml:space="preserve"> </w:t>
            </w:r>
            <w:r w:rsidRPr="002F1908">
              <w:rPr>
                <w:b w:val="0"/>
                <w:sz w:val="20"/>
              </w:rPr>
              <w:t>growth and development of infants or children’ – a plausible benefit is not synonymous with a</w:t>
            </w:r>
            <w:r>
              <w:rPr>
                <w:b w:val="0"/>
                <w:sz w:val="20"/>
              </w:rPr>
              <w:t xml:space="preserve"> </w:t>
            </w:r>
            <w:r w:rsidRPr="002F1908">
              <w:rPr>
                <w:b w:val="0"/>
                <w:sz w:val="20"/>
              </w:rPr>
              <w:t>substantiated benefit.</w:t>
            </w:r>
          </w:p>
          <w:p w14:paraId="7F90EA18" w14:textId="77777777" w:rsidR="002E3D4A" w:rsidRDefault="002E3D4A" w:rsidP="002E3D4A">
            <w:pPr>
              <w:pStyle w:val="FSTableText"/>
              <w:spacing w:before="60"/>
            </w:pPr>
          </w:p>
          <w:p w14:paraId="0FC5348D" w14:textId="3C40F8BF" w:rsidR="002E3D4A" w:rsidRDefault="002E3D4A" w:rsidP="002E3D4A">
            <w:pPr>
              <w:pStyle w:val="FSTableText"/>
              <w:spacing w:before="60"/>
            </w:pPr>
            <w:r>
              <w:rPr>
                <w:b w:val="0"/>
              </w:rPr>
              <w:t>A</w:t>
            </w:r>
            <w:r w:rsidRPr="002F1908">
              <w:rPr>
                <w:b w:val="0"/>
              </w:rPr>
              <w:t>lso concerned that FSANZ’ approval sets a concerning precedent regarding criteria for permitting the addition of substances to infant</w:t>
            </w:r>
            <w:r>
              <w:rPr>
                <w:b w:val="0"/>
              </w:rPr>
              <w:t xml:space="preserve"> </w:t>
            </w:r>
            <w:r w:rsidRPr="002F1908">
              <w:rPr>
                <w:b w:val="0"/>
              </w:rPr>
              <w:t>formula in the future.</w:t>
            </w:r>
          </w:p>
        </w:tc>
        <w:tc>
          <w:tcPr>
            <w:tcW w:w="2108" w:type="dxa"/>
            <w:tcBorders>
              <w:left w:val="single" w:sz="4" w:space="0" w:color="auto"/>
              <w:right w:val="single" w:sz="4" w:space="0" w:color="auto"/>
            </w:tcBorders>
          </w:tcPr>
          <w:p w14:paraId="1B7DCB82" w14:textId="0F4C94FC" w:rsidR="002E3D4A" w:rsidRDefault="002E3D4A" w:rsidP="002E3D4A">
            <w:pPr>
              <w:pStyle w:val="FSTableText"/>
              <w:spacing w:before="60"/>
              <w:cnfStyle w:val="000000010000" w:firstRow="0" w:lastRow="0" w:firstColumn="0" w:lastColumn="0" w:oddVBand="0" w:evenVBand="0" w:oddHBand="0" w:evenHBand="1" w:firstRowFirstColumn="0" w:firstRowLastColumn="0" w:lastRowFirstColumn="0" w:lastRowLastColumn="0"/>
            </w:pPr>
            <w:r w:rsidRPr="001963A1">
              <w:rPr>
                <w:bCs/>
              </w:rPr>
              <w:t>WA DoH</w:t>
            </w:r>
            <w:r>
              <w:rPr>
                <w:bCs/>
              </w:rPr>
              <w:t xml:space="preserve">, QLD Health </w:t>
            </w:r>
            <w:r>
              <w:t xml:space="preserve"> </w:t>
            </w:r>
          </w:p>
        </w:tc>
        <w:tc>
          <w:tcPr>
            <w:tcW w:w="6378" w:type="dxa"/>
            <w:tcBorders>
              <w:left w:val="single" w:sz="4" w:space="0" w:color="auto"/>
            </w:tcBorders>
          </w:tcPr>
          <w:p w14:paraId="6422172C" w14:textId="4A6270C7" w:rsidR="002E3D4A" w:rsidRDefault="002E3D4A" w:rsidP="002E3D4A">
            <w:pPr>
              <w:pStyle w:val="FSCtMain"/>
              <w:tabs>
                <w:tab w:val="clear" w:pos="1134"/>
                <w:tab w:val="left" w:pos="0"/>
              </w:tabs>
              <w:ind w:left="27" w:hanging="27"/>
              <w:cnfStyle w:val="000000010000" w:firstRow="0" w:lastRow="0" w:firstColumn="0" w:lastColumn="0" w:oddVBand="0" w:evenVBand="0" w:oddHBand="0" w:evenHBand="1" w:firstRowFirstColumn="0" w:firstRowLastColumn="0" w:lastRowFirstColumn="0" w:lastRowLastColumn="0"/>
              <w:rPr>
                <w:lang w:val="en-AU"/>
              </w:rPr>
            </w:pPr>
            <w:r>
              <w:rPr>
                <w:lang w:val="en-AU"/>
              </w:rPr>
              <w:t xml:space="preserve">The term ‘plausible’ (as used in the assessment reports) is a conclusion about ‘causality’ of the </w:t>
            </w:r>
            <w:r w:rsidRPr="0085363A">
              <w:rPr>
                <w:szCs w:val="20"/>
              </w:rPr>
              <w:t>physiological, biochemical and/or functional effects</w:t>
            </w:r>
            <w:r>
              <w:rPr>
                <w:lang w:val="en-AU"/>
              </w:rPr>
              <w:t xml:space="preserve"> to produce any favourable health effects. </w:t>
            </w:r>
            <w:r w:rsidRPr="0085363A">
              <w:rPr>
                <w:szCs w:val="20"/>
                <w:lang w:val="en-AU"/>
              </w:rPr>
              <w:t>Biological plausibility is a key component of establishing a cause-and-effect relationship between a biological factor and a particular outcome</w:t>
            </w:r>
            <w:r>
              <w:rPr>
                <w:szCs w:val="20"/>
                <w:lang w:val="en-AU"/>
              </w:rPr>
              <w:t xml:space="preserve">.  </w:t>
            </w:r>
          </w:p>
          <w:p w14:paraId="1DEAE7B1" w14:textId="3AE67BD5" w:rsidR="002E3D4A" w:rsidRDefault="002E3D4A" w:rsidP="002E3D4A">
            <w:pPr>
              <w:pStyle w:val="FSCtMain"/>
              <w:tabs>
                <w:tab w:val="clear" w:pos="1134"/>
                <w:tab w:val="left" w:pos="0"/>
              </w:tabs>
              <w:ind w:left="27" w:hanging="27"/>
              <w:cnfStyle w:val="000000010000" w:firstRow="0" w:lastRow="0" w:firstColumn="0" w:lastColumn="0" w:oddVBand="0" w:evenVBand="0" w:oddHBand="0" w:evenHBand="1" w:firstRowFirstColumn="0" w:firstRowLastColumn="0" w:lastRowFirstColumn="0" w:lastRowLastColumn="0"/>
              <w:rPr>
                <w:lang w:val="en-AU"/>
              </w:rPr>
            </w:pPr>
            <w:r w:rsidRPr="0085363A">
              <w:rPr>
                <w:szCs w:val="20"/>
              </w:rPr>
              <w:t xml:space="preserve">As discussed in SD2, the </w:t>
            </w:r>
            <w:r>
              <w:rPr>
                <w:szCs w:val="20"/>
              </w:rPr>
              <w:t xml:space="preserve">policy </w:t>
            </w:r>
            <w:r w:rsidRPr="0085363A">
              <w:rPr>
                <w:szCs w:val="20"/>
              </w:rPr>
              <w:t xml:space="preserve">guideline </w:t>
            </w:r>
            <w:r>
              <w:rPr>
                <w:szCs w:val="20"/>
              </w:rPr>
              <w:t>sets out</w:t>
            </w:r>
            <w:r w:rsidRPr="0085363A">
              <w:rPr>
                <w:szCs w:val="20"/>
              </w:rPr>
              <w:t xml:space="preserve"> that composition of infant formula must </w:t>
            </w:r>
            <w:r>
              <w:rPr>
                <w:szCs w:val="20"/>
              </w:rPr>
              <w:t xml:space="preserve">be </w:t>
            </w:r>
            <w:r w:rsidRPr="0085363A">
              <w:rPr>
                <w:szCs w:val="20"/>
              </w:rPr>
              <w:t xml:space="preserve">safe, suitable for the intended use and strive to achieve normal growth and development </w:t>
            </w:r>
            <w:r>
              <w:rPr>
                <w:szCs w:val="20"/>
              </w:rPr>
              <w:t xml:space="preserve">compared to </w:t>
            </w:r>
            <w:r w:rsidRPr="0085363A">
              <w:rPr>
                <w:szCs w:val="20"/>
              </w:rPr>
              <w:t xml:space="preserve">a healthy full term exclusively breastfed infant – as measured by appropriate physiological, biochemical and/or functional effects. FSANZ </w:t>
            </w:r>
            <w:r>
              <w:rPr>
                <w:szCs w:val="20"/>
              </w:rPr>
              <w:t xml:space="preserve">has considered the assessment strives to achieve the physiological, functional and health effects of breastfed infants. The assessment </w:t>
            </w:r>
            <w:r w:rsidRPr="0085363A">
              <w:rPr>
                <w:szCs w:val="20"/>
              </w:rPr>
              <w:t xml:space="preserve">considers that the available evidence demonstrates relevant physiological, and functional effects in infants. </w:t>
            </w:r>
          </w:p>
          <w:p w14:paraId="43F4FC3D" w14:textId="69667E22" w:rsidR="002E3D4A" w:rsidRDefault="002E3D4A" w:rsidP="002E3D4A">
            <w:pPr>
              <w:pStyle w:val="FSTableText"/>
              <w:cnfStyle w:val="000000010000" w:firstRow="0" w:lastRow="0" w:firstColumn="0" w:lastColumn="0" w:oddVBand="0" w:evenVBand="0" w:oddHBand="0" w:evenHBand="1" w:firstRowFirstColumn="0" w:firstRowLastColumn="0" w:lastRowFirstColumn="0" w:lastRowLastColumn="0"/>
            </w:pPr>
            <w:r w:rsidRPr="004B5918">
              <w:t>FSANZ’s assessment of the stated health effects is for the purpose of the requested voluntary compositional permission</w:t>
            </w:r>
            <w:r>
              <w:t>.</w:t>
            </w:r>
            <w:r w:rsidRPr="004B5918">
              <w:rPr>
                <w:sz w:val="18"/>
              </w:rPr>
              <w:t xml:space="preserve"> </w:t>
            </w:r>
            <w:r w:rsidRPr="0028733D">
              <w:t>FSANZ’s first order priority was to ensure there are no public health and safety risks in accordance with subsection 18(1) of the FSANZ Act</w:t>
            </w:r>
            <w:r w:rsidRPr="000B78EC">
              <w:rPr>
                <w:sz w:val="18"/>
              </w:rPr>
              <w:t xml:space="preserve">. </w:t>
            </w:r>
            <w:r w:rsidRPr="000B78EC">
              <w:rPr>
                <w:color w:val="000000" w:themeColor="text1"/>
              </w:rPr>
              <w:t>In having regard to all high order policy principles, FSANZ considers that the strength, quality and type of evidence assessed in this application is appropriate for voluntary compositional permission</w:t>
            </w:r>
            <w:r w:rsidRPr="0085363A">
              <w:rPr>
                <w:color w:val="1F497D" w:themeColor="text2"/>
              </w:rPr>
              <w:t xml:space="preserve">. </w:t>
            </w:r>
          </w:p>
        </w:tc>
      </w:tr>
      <w:tr w:rsidR="002E3D4A" w14:paraId="0C26BDB0" w14:textId="77777777" w:rsidTr="000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33341687" w14:textId="3077E952" w:rsidR="002E3D4A" w:rsidRDefault="002E3D4A" w:rsidP="002E3D4A">
            <w:pPr>
              <w:spacing w:before="60"/>
              <w:rPr>
                <w:rFonts w:cs="Arial"/>
                <w:b w:val="0"/>
                <w:sz w:val="20"/>
                <w:szCs w:val="20"/>
              </w:rPr>
            </w:pPr>
            <w:r w:rsidRPr="00977DB8">
              <w:rPr>
                <w:rFonts w:cs="Arial"/>
                <w:b w:val="0"/>
                <w:sz w:val="20"/>
                <w:szCs w:val="20"/>
              </w:rPr>
              <w:t>Does not consider evidence provided to date to be sufficient to provide a substantiated health outcome and requests that FSANZ convene the Independent Expert Scientific Group proposed by the Ministerial Policy Guideline for Infant Formula Products</w:t>
            </w:r>
            <w:r>
              <w:rPr>
                <w:rFonts w:cs="Arial"/>
                <w:b w:val="0"/>
                <w:sz w:val="20"/>
                <w:szCs w:val="20"/>
              </w:rPr>
              <w:t xml:space="preserve">. </w:t>
            </w:r>
          </w:p>
          <w:p w14:paraId="7051125B" w14:textId="77777777" w:rsidR="002E3D4A" w:rsidRDefault="002E3D4A" w:rsidP="002E3D4A">
            <w:pPr>
              <w:spacing w:before="60"/>
              <w:rPr>
                <w:rFonts w:cs="Arial"/>
                <w:b w:val="0"/>
                <w:sz w:val="20"/>
                <w:szCs w:val="20"/>
              </w:rPr>
            </w:pPr>
          </w:p>
          <w:p w14:paraId="4C347CCB" w14:textId="400EF155" w:rsidR="002E3D4A" w:rsidRPr="000A4DFF" w:rsidRDefault="002E3D4A" w:rsidP="002E3D4A">
            <w:pPr>
              <w:pStyle w:val="FSTableText"/>
              <w:spacing w:before="60"/>
              <w:rPr>
                <w:b w:val="0"/>
              </w:rPr>
            </w:pPr>
          </w:p>
        </w:tc>
        <w:tc>
          <w:tcPr>
            <w:tcW w:w="2108" w:type="dxa"/>
            <w:tcBorders>
              <w:left w:val="single" w:sz="4" w:space="0" w:color="auto"/>
              <w:right w:val="single" w:sz="4" w:space="0" w:color="auto"/>
            </w:tcBorders>
          </w:tcPr>
          <w:p w14:paraId="14A45C87" w14:textId="3AA5D535" w:rsidR="002E3D4A" w:rsidRPr="001963A1" w:rsidRDefault="002E3D4A" w:rsidP="002E3D4A">
            <w:pPr>
              <w:pStyle w:val="FSTableText"/>
              <w:spacing w:before="60"/>
              <w:cnfStyle w:val="000000100000" w:firstRow="0" w:lastRow="0" w:firstColumn="0" w:lastColumn="0" w:oddVBand="0" w:evenVBand="0" w:oddHBand="1" w:evenHBand="0" w:firstRowFirstColumn="0" w:firstRowLastColumn="0" w:lastRowFirstColumn="0" w:lastRowLastColumn="0"/>
              <w:rPr>
                <w:bCs/>
              </w:rPr>
            </w:pPr>
            <w:r w:rsidRPr="00977DB8">
              <w:t>NSWFA</w:t>
            </w:r>
            <w:r>
              <w:t>, WA DoH, QLD Health</w:t>
            </w:r>
          </w:p>
        </w:tc>
        <w:tc>
          <w:tcPr>
            <w:tcW w:w="6378" w:type="dxa"/>
            <w:tcBorders>
              <w:left w:val="single" w:sz="4" w:space="0" w:color="auto"/>
            </w:tcBorders>
          </w:tcPr>
          <w:p w14:paraId="6FB5D88A" w14:textId="77777777" w:rsidR="002E3D4A" w:rsidRDefault="002E3D4A" w:rsidP="002E3D4A">
            <w:pPr>
              <w:keepNext/>
              <w:keepLine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Based on submissions, FSANZ sought </w:t>
            </w:r>
            <w:r w:rsidRPr="00696EAA">
              <w:rPr>
                <w:sz w:val="20"/>
                <w:szCs w:val="20"/>
              </w:rPr>
              <w:t>advice on our assessment of anti-pathogenic and bifidogenic effects from an expert microbiologist, Associate Professor Andrew Holmes</w:t>
            </w:r>
            <w:r>
              <w:rPr>
                <w:rStyle w:val="FootnoteReference"/>
                <w:sz w:val="20"/>
                <w:szCs w:val="20"/>
              </w:rPr>
              <w:footnoteReference w:id="10"/>
            </w:r>
            <w:r>
              <w:rPr>
                <w:sz w:val="20"/>
                <w:szCs w:val="20"/>
              </w:rPr>
              <w:t>. Professor Holmes</w:t>
            </w:r>
            <w:r w:rsidRPr="00696EAA">
              <w:rPr>
                <w:sz w:val="20"/>
                <w:szCs w:val="20"/>
              </w:rPr>
              <w:t xml:space="preserve"> noted the approach and conclusions reached by FSANZ were appropriate and reasonable. He also commented that FSANZ had taken a particularly cautious approach to our assessment of bifidogenic effect, noting the effect could be greater in infants who are predisposed to respond to the addition of these oligosaccharides in infant formula.</w:t>
            </w:r>
          </w:p>
          <w:p w14:paraId="2E410D63" w14:textId="77777777" w:rsidR="002E3D4A" w:rsidRDefault="002E3D4A" w:rsidP="002E3D4A">
            <w:pPr>
              <w:keepNext/>
              <w:keepLines/>
              <w:cnfStyle w:val="000000100000" w:firstRow="0" w:lastRow="0" w:firstColumn="0" w:lastColumn="0" w:oddVBand="0" w:evenVBand="0" w:oddHBand="1" w:evenHBand="0" w:firstRowFirstColumn="0" w:firstRowLastColumn="0" w:lastRowFirstColumn="0" w:lastRowLastColumn="0"/>
              <w:rPr>
                <w:sz w:val="20"/>
                <w:szCs w:val="20"/>
              </w:rPr>
            </w:pPr>
          </w:p>
          <w:p w14:paraId="60C0890E" w14:textId="1F227A83" w:rsidR="002E3D4A" w:rsidRDefault="002E3D4A" w:rsidP="002E3D4A">
            <w:pPr>
              <w:keepNext/>
              <w:keepLine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FSANZ also sought advice of FSANZ Fellow Professor Seppo Salminen</w:t>
            </w:r>
            <w:r>
              <w:rPr>
                <w:rStyle w:val="FootnoteReference"/>
                <w:sz w:val="20"/>
                <w:szCs w:val="20"/>
              </w:rPr>
              <w:footnoteReference w:id="11"/>
            </w:r>
            <w:r>
              <w:rPr>
                <w:sz w:val="20"/>
                <w:szCs w:val="20"/>
              </w:rPr>
              <w:t xml:space="preserve"> on the assessment who supported the approach and conclusions of the assessment. On the basis of these two independent expert opinions, </w:t>
            </w:r>
            <w:r w:rsidRPr="00696EAA">
              <w:rPr>
                <w:sz w:val="20"/>
                <w:szCs w:val="20"/>
              </w:rPr>
              <w:t xml:space="preserve">FSANZ considers </w:t>
            </w:r>
            <w:r>
              <w:rPr>
                <w:sz w:val="20"/>
                <w:szCs w:val="20"/>
              </w:rPr>
              <w:t>this fulfils the policy guidance regarding</w:t>
            </w:r>
            <w:r w:rsidRPr="00696EAA">
              <w:rPr>
                <w:sz w:val="20"/>
                <w:szCs w:val="20"/>
              </w:rPr>
              <w:t xml:space="preserve"> an independent </w:t>
            </w:r>
            <w:r>
              <w:rPr>
                <w:sz w:val="20"/>
                <w:szCs w:val="20"/>
              </w:rPr>
              <w:t xml:space="preserve">scientific </w:t>
            </w:r>
            <w:r w:rsidRPr="00696EAA">
              <w:rPr>
                <w:sz w:val="20"/>
                <w:szCs w:val="20"/>
              </w:rPr>
              <w:t xml:space="preserve">group for this application, noting </w:t>
            </w:r>
            <w:r>
              <w:rPr>
                <w:sz w:val="20"/>
                <w:szCs w:val="20"/>
              </w:rPr>
              <w:t xml:space="preserve">we used </w:t>
            </w:r>
            <w:r w:rsidRPr="00696EAA">
              <w:rPr>
                <w:sz w:val="20"/>
                <w:szCs w:val="20"/>
              </w:rPr>
              <w:t xml:space="preserve">a risk analysis approach and applied particular caution in reaching our conclusions. </w:t>
            </w:r>
          </w:p>
          <w:p w14:paraId="007E6649" w14:textId="547D29FC" w:rsidR="002E3D4A" w:rsidRDefault="002E3D4A" w:rsidP="002E3D4A">
            <w:pPr>
              <w:keepNext/>
              <w:keepLines/>
              <w:cnfStyle w:val="000000100000" w:firstRow="0" w:lastRow="0" w:firstColumn="0" w:lastColumn="0" w:oddVBand="0" w:evenVBand="0" w:oddHBand="1" w:evenHBand="0" w:firstRowFirstColumn="0" w:firstRowLastColumn="0" w:lastRowFirstColumn="0" w:lastRowLastColumn="0"/>
              <w:rPr>
                <w:lang w:val="en-AU"/>
              </w:rPr>
            </w:pPr>
          </w:p>
        </w:tc>
      </w:tr>
      <w:tr w:rsidR="002E3D4A" w14:paraId="507CCD6B" w14:textId="77777777" w:rsidTr="000D4A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57DED819" w14:textId="78A6DE4E" w:rsidR="002E3D4A" w:rsidRPr="000D4ABD" w:rsidRDefault="002E3D4A" w:rsidP="002E3D4A">
            <w:pPr>
              <w:spacing w:before="60"/>
              <w:rPr>
                <w:rFonts w:cs="Arial"/>
                <w:b w:val="0"/>
                <w:sz w:val="20"/>
                <w:szCs w:val="20"/>
              </w:rPr>
            </w:pPr>
            <w:r w:rsidRPr="000D4ABD">
              <w:rPr>
                <w:b w:val="0"/>
                <w:sz w:val="20"/>
                <w:szCs w:val="20"/>
              </w:rPr>
              <w:t>Believes there is an absence of clarity on how FSANZ assessed weight of evidence</w:t>
            </w:r>
          </w:p>
        </w:tc>
        <w:tc>
          <w:tcPr>
            <w:tcW w:w="2108" w:type="dxa"/>
            <w:tcBorders>
              <w:left w:val="single" w:sz="4" w:space="0" w:color="auto"/>
              <w:right w:val="single" w:sz="4" w:space="0" w:color="auto"/>
            </w:tcBorders>
          </w:tcPr>
          <w:p w14:paraId="1B152E38" w14:textId="50FF1F39" w:rsidR="002E3D4A" w:rsidRPr="000D4ABD" w:rsidRDefault="002E3D4A" w:rsidP="002E3D4A">
            <w:pPr>
              <w:pStyle w:val="FSTableText"/>
              <w:spacing w:before="60"/>
              <w:cnfStyle w:val="000000010000" w:firstRow="0" w:lastRow="0" w:firstColumn="0" w:lastColumn="0" w:oddVBand="0" w:evenVBand="0" w:oddHBand="0" w:evenHBand="1" w:firstRowFirstColumn="0" w:firstRowLastColumn="0" w:lastRowFirstColumn="0" w:lastRowLastColumn="0"/>
            </w:pPr>
            <w:r w:rsidRPr="000D4ABD">
              <w:rPr>
                <w:bCs/>
              </w:rPr>
              <w:t>SA Health</w:t>
            </w:r>
            <w:r w:rsidRPr="000D4ABD">
              <w:t xml:space="preserve"> </w:t>
            </w:r>
          </w:p>
        </w:tc>
        <w:tc>
          <w:tcPr>
            <w:tcW w:w="6378" w:type="dxa"/>
            <w:tcBorders>
              <w:left w:val="single" w:sz="4" w:space="0" w:color="auto"/>
            </w:tcBorders>
          </w:tcPr>
          <w:p w14:paraId="31985B8B" w14:textId="77777777" w:rsidR="002E3D4A" w:rsidRPr="000D4ABD" w:rsidRDefault="002E3D4A" w:rsidP="002E3D4A">
            <w:pPr>
              <w:spacing w:before="60"/>
              <w:cnfStyle w:val="000000010000" w:firstRow="0" w:lastRow="0" w:firstColumn="0" w:lastColumn="0" w:oddVBand="0" w:evenVBand="0" w:oddHBand="0" w:evenHBand="1" w:firstRowFirstColumn="0" w:firstRowLastColumn="0" w:lastRowFirstColumn="0" w:lastRowLastColumn="0"/>
              <w:rPr>
                <w:sz w:val="20"/>
                <w:szCs w:val="20"/>
              </w:rPr>
            </w:pPr>
            <w:r w:rsidRPr="000D4ABD">
              <w:rPr>
                <w:rFonts w:cs="Arial"/>
                <w:sz w:val="20"/>
                <w:szCs w:val="20"/>
                <w:lang w:val="en-AU"/>
              </w:rPr>
              <w:t xml:space="preserve">As always FSANZ used an internationally accepted risk analysis framework in our decision making. The risk assessment component </w:t>
            </w:r>
            <w:r w:rsidRPr="000D4ABD">
              <w:rPr>
                <w:sz w:val="20"/>
                <w:szCs w:val="20"/>
              </w:rPr>
              <w:t xml:space="preserve">included: (i) a food technology assessment of 2′-FL and LNnT; (ii) a safety assessment to identify potential adverse effects associated with 2′-FL and LNnT; (iii) a dietary intake assessment to estimate the total dietary intake of 2′-FL and LNnT for breastfed infants and intake resulting from the addition of 2′-FL and LNnT to infant formula products and FSFYC; and (iv) an assessment of the stated health effects. The conclusions of the assessments were made taking into account all of evidence. </w:t>
            </w:r>
          </w:p>
          <w:p w14:paraId="3CFCA330" w14:textId="77777777" w:rsidR="002E3D4A" w:rsidRPr="000D4ABD" w:rsidRDefault="002E3D4A" w:rsidP="002E3D4A">
            <w:pPr>
              <w:cnfStyle w:val="000000010000" w:firstRow="0" w:lastRow="0" w:firstColumn="0" w:lastColumn="0" w:oddVBand="0" w:evenVBand="0" w:oddHBand="0" w:evenHBand="1" w:firstRowFirstColumn="0" w:firstRowLastColumn="0" w:lastRowFirstColumn="0" w:lastRowLastColumn="0"/>
              <w:rPr>
                <w:sz w:val="20"/>
                <w:szCs w:val="20"/>
              </w:rPr>
            </w:pPr>
          </w:p>
          <w:p w14:paraId="430D2B0D" w14:textId="77777777" w:rsidR="002E3D4A" w:rsidRPr="000D4ABD" w:rsidRDefault="002E3D4A" w:rsidP="002E3D4A">
            <w:pPr>
              <w:cnfStyle w:val="000000010000" w:firstRow="0" w:lastRow="0" w:firstColumn="0" w:lastColumn="0" w:oddVBand="0" w:evenVBand="0" w:oddHBand="0" w:evenHBand="1" w:firstRowFirstColumn="0" w:firstRowLastColumn="0" w:lastRowFirstColumn="0" w:lastRowLastColumn="0"/>
              <w:rPr>
                <w:sz w:val="20"/>
                <w:szCs w:val="20"/>
              </w:rPr>
            </w:pPr>
            <w:r w:rsidRPr="000D4ABD">
              <w:rPr>
                <w:sz w:val="20"/>
                <w:szCs w:val="20"/>
              </w:rPr>
              <w:t xml:space="preserve">In assessing a link between the relevant physiological, biochemical or functional effects and specific health effects FSANZ will consider an evidence base including animal studies, </w:t>
            </w:r>
            <w:r w:rsidRPr="000D4ABD">
              <w:rPr>
                <w:i/>
                <w:sz w:val="20"/>
                <w:szCs w:val="20"/>
              </w:rPr>
              <w:t xml:space="preserve">in vitro </w:t>
            </w:r>
            <w:r w:rsidRPr="000D4ABD">
              <w:rPr>
                <w:sz w:val="20"/>
                <w:szCs w:val="20"/>
              </w:rPr>
              <w:t xml:space="preserve">evidence as well as relevant observational or epidemiological studies. </w:t>
            </w:r>
          </w:p>
          <w:p w14:paraId="6B39578E" w14:textId="77777777" w:rsidR="002E3D4A" w:rsidRPr="000D4ABD" w:rsidRDefault="002E3D4A" w:rsidP="002E3D4A">
            <w:pPr>
              <w:cnfStyle w:val="000000010000" w:firstRow="0" w:lastRow="0" w:firstColumn="0" w:lastColumn="0" w:oddVBand="0" w:evenVBand="0" w:oddHBand="0" w:evenHBand="1" w:firstRowFirstColumn="0" w:firstRowLastColumn="0" w:lastRowFirstColumn="0" w:lastRowLastColumn="0"/>
              <w:rPr>
                <w:sz w:val="20"/>
                <w:szCs w:val="20"/>
              </w:rPr>
            </w:pPr>
          </w:p>
          <w:p w14:paraId="169AECD8" w14:textId="3E19A39F" w:rsidR="002E3D4A" w:rsidRPr="000D4ABD" w:rsidRDefault="002E3D4A" w:rsidP="002E3D4A">
            <w:pPr>
              <w:pStyle w:val="FSCtMain"/>
              <w:keepNext/>
              <w:keepLines/>
              <w:tabs>
                <w:tab w:val="clear" w:pos="1134"/>
                <w:tab w:val="left" w:pos="0"/>
              </w:tabs>
              <w:ind w:left="27" w:hanging="27"/>
              <w:cnfStyle w:val="000000010000" w:firstRow="0" w:lastRow="0" w:firstColumn="0" w:lastColumn="0" w:oddVBand="0" w:evenVBand="0" w:oddHBand="0" w:evenHBand="1" w:firstRowFirstColumn="0" w:firstRowLastColumn="0" w:lastRowFirstColumn="0" w:lastRowLastColumn="0"/>
              <w:rPr>
                <w:szCs w:val="20"/>
              </w:rPr>
            </w:pPr>
            <w:r w:rsidRPr="000D4ABD">
              <w:rPr>
                <w:szCs w:val="20"/>
                <w:lang w:val="en-AU"/>
              </w:rPr>
              <w:t xml:space="preserve">To clarify our assessment process we have summarised the approach and the relevant evidence considered in reaching our conclusions in section 2.2.1, 2.2.2 and 2.2.3. </w:t>
            </w:r>
          </w:p>
        </w:tc>
      </w:tr>
      <w:tr w:rsidR="002E3D4A" w14:paraId="6FC91418" w14:textId="77777777" w:rsidTr="000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8" w:type="dxa"/>
            <w:gridSpan w:val="3"/>
            <w:tcBorders>
              <w:bottom w:val="single" w:sz="4" w:space="0" w:color="auto"/>
            </w:tcBorders>
            <w:vAlign w:val="center"/>
          </w:tcPr>
          <w:p w14:paraId="3CD0B771" w14:textId="77777777" w:rsidR="002E3D4A" w:rsidRPr="00367DB5" w:rsidRDefault="002E3D4A" w:rsidP="002E3D4A">
            <w:pPr>
              <w:pStyle w:val="FSTableText"/>
              <w:keepNext/>
              <w:keepLines/>
              <w:spacing w:before="60"/>
              <w:rPr>
                <w:bCs w:val="0"/>
              </w:rPr>
            </w:pPr>
            <w:r>
              <w:t>Beneficial health effects</w:t>
            </w:r>
          </w:p>
          <w:p w14:paraId="4F439C1E" w14:textId="5281135D" w:rsidR="002E3D4A" w:rsidRDefault="002E3D4A" w:rsidP="002E3D4A">
            <w:pPr>
              <w:pStyle w:val="FSTableText"/>
              <w:keepNext/>
              <w:keepLines/>
            </w:pPr>
          </w:p>
        </w:tc>
      </w:tr>
      <w:tr w:rsidR="002E3D4A" w14:paraId="58BFF24B" w14:textId="77777777" w:rsidTr="000D4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627AD381" w14:textId="77777777" w:rsidR="002E3D4A" w:rsidRPr="008F285A" w:rsidRDefault="002E3D4A" w:rsidP="002E3D4A">
            <w:pPr>
              <w:keepNext/>
              <w:keepLines/>
              <w:spacing w:before="60"/>
              <w:rPr>
                <w:rFonts w:cs="Arial"/>
                <w:b w:val="0"/>
                <w:color w:val="000000" w:themeColor="text1"/>
                <w:sz w:val="20"/>
                <w:szCs w:val="20"/>
              </w:rPr>
            </w:pPr>
            <w:r w:rsidRPr="008F285A">
              <w:rPr>
                <w:rFonts w:cs="Arial"/>
                <w:b w:val="0"/>
                <w:color w:val="000000" w:themeColor="text1"/>
                <w:sz w:val="20"/>
                <w:szCs w:val="20"/>
              </w:rPr>
              <w:t>Recommends FSANZ form an independent scientific expert group to review and provide advice to commensurately define criteria for substantiating a bifidogenic effect in terms of microbial and human physiological criteria. ‘</w:t>
            </w:r>
          </w:p>
          <w:p w14:paraId="7E9EF104" w14:textId="1D10DB66" w:rsidR="002E3D4A" w:rsidRDefault="002E3D4A" w:rsidP="002E3D4A">
            <w:pPr>
              <w:pStyle w:val="FSTableText"/>
              <w:keepNext/>
              <w:keepLines/>
              <w:spacing w:before="60"/>
              <w:rPr>
                <w:b w:val="0"/>
              </w:rPr>
            </w:pPr>
            <w:r w:rsidRPr="008F285A">
              <w:rPr>
                <w:b w:val="0"/>
                <w:color w:val="000000" w:themeColor="text1"/>
              </w:rPr>
              <w:t>This could include broader delineation of the status of prebiotics as nutritive substances for classification in the Code. This includes general criteria related to human normal flora indicative of an impact on same, i.e. increase/decrease in total population of an organism/class of organisms, their relative proportion of the total microbial population, or both as beneficial health effects for classification in the Code; and review other countries’ assessment criteria in this regard (EU, US, Canada).</w:t>
            </w:r>
          </w:p>
        </w:tc>
        <w:tc>
          <w:tcPr>
            <w:tcW w:w="2108" w:type="dxa"/>
            <w:tcBorders>
              <w:left w:val="single" w:sz="4" w:space="0" w:color="auto"/>
              <w:right w:val="single" w:sz="4" w:space="0" w:color="auto"/>
            </w:tcBorders>
          </w:tcPr>
          <w:p w14:paraId="32912023" w14:textId="0EC3DCD7" w:rsidR="002E3D4A" w:rsidRDefault="002E3D4A" w:rsidP="002E3D4A">
            <w:pPr>
              <w:pStyle w:val="FSTableText"/>
              <w:keepNext/>
              <w:keepLines/>
              <w:spacing w:before="60"/>
              <w:cnfStyle w:val="000000010000" w:firstRow="0" w:lastRow="0" w:firstColumn="0" w:lastColumn="0" w:oddVBand="0" w:evenVBand="0" w:oddHBand="0" w:evenHBand="1" w:firstRowFirstColumn="0" w:firstRowLastColumn="0" w:lastRowFirstColumn="0" w:lastRowLastColumn="0"/>
            </w:pPr>
            <w:r>
              <w:t>QLD Health</w:t>
            </w:r>
          </w:p>
        </w:tc>
        <w:tc>
          <w:tcPr>
            <w:tcW w:w="6378" w:type="dxa"/>
            <w:tcBorders>
              <w:left w:val="single" w:sz="4" w:space="0" w:color="auto"/>
            </w:tcBorders>
          </w:tcPr>
          <w:p w14:paraId="048AB7F5" w14:textId="6ED75BAE" w:rsidR="002E3D4A" w:rsidRDefault="002E3D4A" w:rsidP="002E3D4A">
            <w:pPr>
              <w:pStyle w:val="FSTableText"/>
              <w:keepNext/>
              <w:keepLines/>
              <w:cnfStyle w:val="000000010000" w:firstRow="0" w:lastRow="0" w:firstColumn="0" w:lastColumn="0" w:oddVBand="0" w:evenVBand="0" w:oddHBand="0" w:evenHBand="1" w:firstRowFirstColumn="0" w:firstRowLastColumn="0" w:lastRowFirstColumn="0" w:lastRowLastColumn="0"/>
            </w:pPr>
            <w:r>
              <w:t xml:space="preserve">A general review of the effects of prebiotics and probiotics and other countries’ assessment criteria is much broader than the specific beneficial health effects assessed for this application for the purpose of voluntary permitted use and is out of scope. </w:t>
            </w:r>
          </w:p>
        </w:tc>
      </w:tr>
      <w:tr w:rsidR="002E3D4A" w14:paraId="0C6E4925" w14:textId="77777777" w:rsidTr="000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565486FA" w14:textId="2A388361" w:rsidR="002E3D4A" w:rsidRPr="008F285A" w:rsidRDefault="002E3D4A" w:rsidP="002E3D4A">
            <w:pPr>
              <w:keepNext/>
              <w:keepLines/>
              <w:spacing w:before="60"/>
              <w:rPr>
                <w:rFonts w:cs="Arial"/>
                <w:b w:val="0"/>
                <w:color w:val="000000" w:themeColor="text1"/>
                <w:sz w:val="20"/>
                <w:szCs w:val="20"/>
              </w:rPr>
            </w:pPr>
            <w:r w:rsidRPr="00D519E8">
              <w:rPr>
                <w:rFonts w:cs="Arial"/>
                <w:b w:val="0"/>
                <w:sz w:val="18"/>
                <w:szCs w:val="20"/>
              </w:rPr>
              <w:t>S</w:t>
            </w:r>
            <w:r w:rsidRPr="00D519E8">
              <w:rPr>
                <w:rFonts w:cs="Arial"/>
                <w:b w:val="0"/>
                <w:sz w:val="20"/>
                <w:szCs w:val="22"/>
                <w:lang w:eastAsia="en-GB" w:bidi="ar-SA"/>
              </w:rPr>
              <w:t>upports FSANZ determination that the beneficial immune modulation, intestinal barrier</w:t>
            </w:r>
            <w:r>
              <w:rPr>
                <w:rFonts w:cs="Arial"/>
                <w:b w:val="0"/>
                <w:sz w:val="20"/>
                <w:szCs w:val="22"/>
                <w:lang w:eastAsia="en-GB" w:bidi="ar-SA"/>
              </w:rPr>
              <w:t xml:space="preserve"> </w:t>
            </w:r>
            <w:r w:rsidRPr="00D519E8">
              <w:rPr>
                <w:rFonts w:cs="Arial"/>
                <w:b w:val="0"/>
                <w:sz w:val="20"/>
                <w:szCs w:val="22"/>
                <w:lang w:eastAsia="en-GB" w:bidi="ar-SA"/>
              </w:rPr>
              <w:t>and allergic mediation health effects are not supported by the evidence</w:t>
            </w:r>
            <w:r>
              <w:rPr>
                <w:rFonts w:cs="Arial"/>
                <w:b w:val="0"/>
                <w:sz w:val="20"/>
                <w:szCs w:val="22"/>
                <w:lang w:eastAsia="en-GB" w:bidi="ar-SA"/>
              </w:rPr>
              <w:t>.</w:t>
            </w:r>
          </w:p>
        </w:tc>
        <w:tc>
          <w:tcPr>
            <w:tcW w:w="2108" w:type="dxa"/>
            <w:tcBorders>
              <w:left w:val="single" w:sz="4" w:space="0" w:color="auto"/>
              <w:right w:val="single" w:sz="4" w:space="0" w:color="auto"/>
            </w:tcBorders>
          </w:tcPr>
          <w:p w14:paraId="03CB16F1" w14:textId="4C277FCE" w:rsidR="002E3D4A" w:rsidRDefault="002E3D4A" w:rsidP="002E3D4A">
            <w:pPr>
              <w:pStyle w:val="FSTableText"/>
              <w:keepNext/>
              <w:keepLines/>
              <w:spacing w:before="60"/>
              <w:cnfStyle w:val="000000100000" w:firstRow="0" w:lastRow="0" w:firstColumn="0" w:lastColumn="0" w:oddVBand="0" w:evenVBand="0" w:oddHBand="1" w:evenHBand="0" w:firstRowFirstColumn="0" w:firstRowLastColumn="0" w:lastRowFirstColumn="0" w:lastRowLastColumn="0"/>
            </w:pPr>
            <w:r>
              <w:t xml:space="preserve">QLD Health </w:t>
            </w:r>
          </w:p>
        </w:tc>
        <w:tc>
          <w:tcPr>
            <w:tcW w:w="6378" w:type="dxa"/>
            <w:tcBorders>
              <w:left w:val="single" w:sz="4" w:space="0" w:color="auto"/>
            </w:tcBorders>
          </w:tcPr>
          <w:p w14:paraId="213BC12B" w14:textId="0AD60C59" w:rsidR="002E3D4A" w:rsidRDefault="002E3D4A" w:rsidP="002E3D4A">
            <w:pPr>
              <w:pStyle w:val="FSTableText"/>
              <w:keepNext/>
              <w:keepLines/>
              <w:cnfStyle w:val="000000100000" w:firstRow="0" w:lastRow="0" w:firstColumn="0" w:lastColumn="0" w:oddVBand="0" w:evenVBand="0" w:oddHBand="1" w:evenHBand="0" w:firstRowFirstColumn="0" w:firstRowLastColumn="0" w:lastRowFirstColumn="0" w:lastRowLastColumn="0"/>
            </w:pPr>
            <w:r>
              <w:t xml:space="preserve">Noted </w:t>
            </w:r>
          </w:p>
        </w:tc>
      </w:tr>
      <w:tr w:rsidR="002E3D4A" w14:paraId="10E2826B" w14:textId="77777777" w:rsidTr="000D4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37036B1B" w14:textId="0268C865" w:rsidR="002E3D4A" w:rsidRPr="00977DB8" w:rsidRDefault="002E3D4A" w:rsidP="002E3D4A">
            <w:pPr>
              <w:pStyle w:val="FSTableText"/>
              <w:spacing w:before="60"/>
            </w:pPr>
            <w:r w:rsidRPr="00977DB8">
              <w:rPr>
                <w:b w:val="0"/>
              </w:rPr>
              <w:t xml:space="preserve">The evidence provided for the bifidogenic effect and anti-infective effect against invasive </w:t>
            </w:r>
            <w:r w:rsidRPr="00977DB8">
              <w:rPr>
                <w:b w:val="0"/>
                <w:i/>
              </w:rPr>
              <w:t>Campylobacter jejuni</w:t>
            </w:r>
            <w:r w:rsidRPr="00977DB8">
              <w:rPr>
                <w:b w:val="0"/>
              </w:rPr>
              <w:t>, based on a plausible relationship, is insufficient to meet the policy requirements</w:t>
            </w:r>
            <w:r w:rsidRPr="00977DB8">
              <w:t>.</w:t>
            </w:r>
          </w:p>
          <w:p w14:paraId="1930CF24" w14:textId="77777777" w:rsidR="002E3D4A" w:rsidRPr="00977DB8" w:rsidRDefault="002E3D4A" w:rsidP="002E3D4A">
            <w:pPr>
              <w:pStyle w:val="FSTableText"/>
              <w:rPr>
                <w:b w:val="0"/>
              </w:rPr>
            </w:pPr>
          </w:p>
          <w:p w14:paraId="28A6D413" w14:textId="5339B7D0" w:rsidR="002E3D4A" w:rsidRDefault="002E3D4A" w:rsidP="002E3D4A">
            <w:pPr>
              <w:keepNext/>
              <w:keepLines/>
              <w:spacing w:before="60"/>
              <w:rPr>
                <w:rFonts w:cs="Arial"/>
                <w:b w:val="0"/>
                <w:sz w:val="18"/>
                <w:szCs w:val="20"/>
              </w:rPr>
            </w:pPr>
            <w:r w:rsidRPr="00B71551">
              <w:rPr>
                <w:b w:val="0"/>
                <w:sz w:val="20"/>
              </w:rPr>
              <w:t>There is insufficient evidence of positive or negative effects on formula-fed infants.</w:t>
            </w:r>
          </w:p>
        </w:tc>
        <w:tc>
          <w:tcPr>
            <w:tcW w:w="2108" w:type="dxa"/>
            <w:tcBorders>
              <w:left w:val="single" w:sz="4" w:space="0" w:color="auto"/>
              <w:right w:val="single" w:sz="4" w:space="0" w:color="auto"/>
            </w:tcBorders>
          </w:tcPr>
          <w:p w14:paraId="2322B7DE" w14:textId="6B53BD3D" w:rsidR="002E3D4A" w:rsidRDefault="002E3D4A" w:rsidP="002E3D4A">
            <w:pPr>
              <w:pStyle w:val="FSTableText"/>
              <w:keepNext/>
              <w:keepLines/>
              <w:spacing w:before="60"/>
              <w:cnfStyle w:val="000000010000" w:firstRow="0" w:lastRow="0" w:firstColumn="0" w:lastColumn="0" w:oddVBand="0" w:evenVBand="0" w:oddHBand="0" w:evenHBand="1" w:firstRowFirstColumn="0" w:firstRowLastColumn="0" w:lastRowFirstColumn="0" w:lastRowLastColumn="0"/>
            </w:pPr>
            <w:r w:rsidRPr="00977DB8">
              <w:t>NSW</w:t>
            </w:r>
            <w:r>
              <w:t>FA</w:t>
            </w:r>
          </w:p>
        </w:tc>
        <w:tc>
          <w:tcPr>
            <w:tcW w:w="6378" w:type="dxa"/>
            <w:tcBorders>
              <w:left w:val="single" w:sz="4" w:space="0" w:color="auto"/>
            </w:tcBorders>
          </w:tcPr>
          <w:p w14:paraId="2C768D84" w14:textId="79D07CFB" w:rsidR="002E3D4A" w:rsidRDefault="002E3D4A" w:rsidP="002E3D4A">
            <w:pPr>
              <w:spacing w:before="6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As discussed above, b</w:t>
            </w:r>
            <w:r w:rsidRPr="00FF1A95">
              <w:rPr>
                <w:rFonts w:cs="Arial"/>
                <w:sz w:val="20"/>
                <w:szCs w:val="20"/>
              </w:rPr>
              <w:t xml:space="preserve">iological plausibility is a </w:t>
            </w:r>
            <w:r>
              <w:rPr>
                <w:rFonts w:cs="Arial"/>
                <w:sz w:val="20"/>
                <w:szCs w:val="20"/>
              </w:rPr>
              <w:t>key</w:t>
            </w:r>
            <w:r w:rsidRPr="00FF1A95">
              <w:rPr>
                <w:rFonts w:cs="Arial"/>
                <w:sz w:val="20"/>
                <w:szCs w:val="20"/>
              </w:rPr>
              <w:t xml:space="preserve"> component of </w:t>
            </w:r>
            <w:r>
              <w:rPr>
                <w:rFonts w:cs="Arial"/>
                <w:sz w:val="20"/>
                <w:szCs w:val="20"/>
              </w:rPr>
              <w:t xml:space="preserve">establishing </w:t>
            </w:r>
            <w:r w:rsidRPr="00FF1A95">
              <w:rPr>
                <w:rFonts w:cs="Arial"/>
                <w:sz w:val="20"/>
                <w:szCs w:val="20"/>
              </w:rPr>
              <w:t>a cause-and-effect relationship</w:t>
            </w:r>
            <w:r>
              <w:rPr>
                <w:rFonts w:cs="Arial"/>
                <w:sz w:val="20"/>
                <w:szCs w:val="20"/>
              </w:rPr>
              <w:t xml:space="preserve">. </w:t>
            </w:r>
            <w:r w:rsidRPr="00772063">
              <w:rPr>
                <w:rFonts w:cs="Arial"/>
                <w:sz w:val="20"/>
                <w:szCs w:val="20"/>
              </w:rPr>
              <w:t xml:space="preserve">FSANZ concluded the evidence </w:t>
            </w:r>
            <w:r>
              <w:rPr>
                <w:rFonts w:cs="Arial"/>
                <w:sz w:val="20"/>
                <w:szCs w:val="20"/>
              </w:rPr>
              <w:t xml:space="preserve">strongly </w:t>
            </w:r>
            <w:r w:rsidRPr="00772063">
              <w:rPr>
                <w:rFonts w:cs="Arial"/>
                <w:sz w:val="20"/>
                <w:szCs w:val="20"/>
              </w:rPr>
              <w:t xml:space="preserve">demonstrates that 2′-FL binds to invasive </w:t>
            </w:r>
            <w:r w:rsidRPr="00772063">
              <w:rPr>
                <w:rFonts w:cs="Arial"/>
                <w:i/>
                <w:sz w:val="20"/>
                <w:szCs w:val="20"/>
              </w:rPr>
              <w:t xml:space="preserve">C. </w:t>
            </w:r>
            <w:r w:rsidRPr="00C07EED">
              <w:rPr>
                <w:rFonts w:cs="Arial"/>
                <w:i/>
                <w:sz w:val="20"/>
                <w:szCs w:val="20"/>
              </w:rPr>
              <w:t>jejuni</w:t>
            </w:r>
            <w:r w:rsidRPr="00C07EED">
              <w:rPr>
                <w:rFonts w:cs="Arial"/>
                <w:sz w:val="20"/>
                <w:szCs w:val="20"/>
              </w:rPr>
              <w:t xml:space="preserve"> strains and subsequently inhibits their attachment and growth</w:t>
            </w:r>
            <w:r>
              <w:rPr>
                <w:rFonts w:cs="Arial"/>
                <w:sz w:val="20"/>
                <w:szCs w:val="20"/>
              </w:rPr>
              <w:t xml:space="preserve">. </w:t>
            </w:r>
          </w:p>
          <w:p w14:paraId="6B097B5A" w14:textId="5F905DE2" w:rsidR="002E3D4A" w:rsidRDefault="002E3D4A" w:rsidP="002E3D4A">
            <w:pPr>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D21BF1">
              <w:rPr>
                <w:rFonts w:cs="Arial"/>
                <w:sz w:val="20"/>
                <w:szCs w:val="20"/>
              </w:rPr>
              <w:t>The evidence from in vitro studies showed a specific binding mechanism whereby 2’FL mimics the intestinal binding site of invasive campylobacter and inhibits binding. Appropriate animal studies demonstrated that this mechanism inhibits pathogen binding to intestinal epithelial cells and prevents subsequent progression of invasive disease. Animal studies are more appropriate for assessing this effect as pathogen challenge studies in infants are not possible.</w:t>
            </w:r>
            <w:r>
              <w:rPr>
                <w:rFonts w:cs="Arial"/>
                <w:sz w:val="20"/>
                <w:szCs w:val="20"/>
              </w:rPr>
              <w:t xml:space="preserve"> Human studies were used as supporting evidence, </w:t>
            </w:r>
            <w:r w:rsidR="00127728">
              <w:rPr>
                <w:rFonts w:cs="Arial"/>
                <w:sz w:val="20"/>
                <w:szCs w:val="20"/>
              </w:rPr>
              <w:t xml:space="preserve">where a study reported </w:t>
            </w:r>
            <w:r w:rsidR="00127728">
              <w:rPr>
                <w:color w:val="000000" w:themeColor="text1"/>
                <w:sz w:val="20"/>
                <w:szCs w:val="20"/>
              </w:rPr>
              <w:t xml:space="preserve">higher incidence of </w:t>
            </w:r>
            <w:r w:rsidR="00127728" w:rsidRPr="00127728">
              <w:rPr>
                <w:color w:val="000000" w:themeColor="text1"/>
                <w:sz w:val="20"/>
                <w:szCs w:val="20"/>
              </w:rPr>
              <w:t>Campylobacter diarrhoea in infants whose mother’s milk contains low levels of 2’-</w:t>
            </w:r>
            <w:r w:rsidR="00127728">
              <w:rPr>
                <w:color w:val="000000" w:themeColor="text1"/>
                <w:sz w:val="20"/>
                <w:szCs w:val="20"/>
              </w:rPr>
              <w:t>FL.</w:t>
            </w:r>
            <w:r w:rsidRPr="00C07EED">
              <w:rPr>
                <w:rFonts w:cs="Arial"/>
                <w:sz w:val="20"/>
                <w:szCs w:val="20"/>
              </w:rPr>
              <w:t xml:space="preserve"> </w:t>
            </w:r>
            <w:r>
              <w:rPr>
                <w:rFonts w:cs="Arial"/>
                <w:sz w:val="20"/>
                <w:szCs w:val="20"/>
              </w:rPr>
              <w:t>F</w:t>
            </w:r>
            <w:r w:rsidRPr="00C07EED">
              <w:rPr>
                <w:color w:val="000000" w:themeColor="text1"/>
                <w:sz w:val="20"/>
                <w:szCs w:val="20"/>
              </w:rPr>
              <w:t xml:space="preserve">SANZ considers it to be self-evident that any reduction in severity of an invasive </w:t>
            </w:r>
            <w:r w:rsidRPr="00C07EED">
              <w:rPr>
                <w:i/>
                <w:color w:val="000000" w:themeColor="text1"/>
                <w:sz w:val="20"/>
                <w:szCs w:val="20"/>
              </w:rPr>
              <w:t>C. jejuni</w:t>
            </w:r>
            <w:r w:rsidRPr="00C07EED">
              <w:rPr>
                <w:color w:val="000000" w:themeColor="text1"/>
                <w:sz w:val="20"/>
                <w:szCs w:val="20"/>
              </w:rPr>
              <w:t xml:space="preserve"> infection would</w:t>
            </w:r>
            <w:r w:rsidRPr="00772063">
              <w:rPr>
                <w:color w:val="000000" w:themeColor="text1"/>
                <w:sz w:val="20"/>
                <w:szCs w:val="20"/>
              </w:rPr>
              <w:t xml:space="preserve"> be beneficial to an infant.</w:t>
            </w:r>
          </w:p>
          <w:p w14:paraId="36EF43FA" w14:textId="77777777" w:rsidR="002E3D4A" w:rsidRDefault="002E3D4A" w:rsidP="002E3D4A">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65CE0947" w14:textId="65D1F0CF" w:rsidR="002E3D4A" w:rsidRDefault="002E3D4A" w:rsidP="002E3D4A">
            <w:pPr>
              <w:cnfStyle w:val="000000010000" w:firstRow="0" w:lastRow="0" w:firstColumn="0" w:lastColumn="0" w:oddVBand="0" w:evenVBand="0" w:oddHBand="0" w:evenHBand="1" w:firstRowFirstColumn="0" w:firstRowLastColumn="0" w:lastRowFirstColumn="0" w:lastRowLastColumn="0"/>
              <w:rPr>
                <w:sz w:val="20"/>
                <w:szCs w:val="20"/>
              </w:rPr>
            </w:pPr>
            <w:r w:rsidRPr="00977DB8">
              <w:rPr>
                <w:rFonts w:cs="Arial"/>
                <w:sz w:val="20"/>
                <w:szCs w:val="20"/>
              </w:rPr>
              <w:t xml:space="preserve">The evidence also </w:t>
            </w:r>
            <w:r w:rsidDel="00696EAA">
              <w:rPr>
                <w:rFonts w:cs="Arial"/>
                <w:sz w:val="20"/>
                <w:szCs w:val="20"/>
              </w:rPr>
              <w:t xml:space="preserve">demonstrates </w:t>
            </w:r>
            <w:r>
              <w:rPr>
                <w:rFonts w:cs="Arial"/>
                <w:sz w:val="20"/>
                <w:szCs w:val="20"/>
              </w:rPr>
              <w:t xml:space="preserve">a </w:t>
            </w:r>
            <w:r w:rsidRPr="00977DB8">
              <w:rPr>
                <w:rFonts w:cs="Arial"/>
                <w:sz w:val="20"/>
                <w:szCs w:val="20"/>
              </w:rPr>
              <w:t>mechanis</w:t>
            </w:r>
            <w:r>
              <w:rPr>
                <w:rFonts w:cs="Arial"/>
                <w:sz w:val="20"/>
                <w:szCs w:val="20"/>
              </w:rPr>
              <w:t xml:space="preserve">m and the </w:t>
            </w:r>
            <w:r w:rsidRPr="00977DB8">
              <w:rPr>
                <w:rFonts w:cs="Arial"/>
                <w:sz w:val="20"/>
                <w:szCs w:val="20"/>
              </w:rPr>
              <w:t xml:space="preserve">likelihood of a bifidogenic effect from the proposed use of 2′-FL alone or with LNnT, if the </w:t>
            </w:r>
            <w:r w:rsidRPr="00977DB8">
              <w:rPr>
                <w:sz w:val="20"/>
                <w:szCs w:val="20"/>
              </w:rPr>
              <w:t>bifidobacterium strains which metabolise these oligosaccharides are present</w:t>
            </w:r>
            <w:r>
              <w:rPr>
                <w:sz w:val="20"/>
                <w:szCs w:val="20"/>
              </w:rPr>
              <w:t xml:space="preserve"> in the gut</w:t>
            </w:r>
            <w:r w:rsidRPr="00977DB8">
              <w:rPr>
                <w:rFonts w:cs="Arial"/>
                <w:sz w:val="20"/>
                <w:szCs w:val="20"/>
              </w:rPr>
              <w:t xml:space="preserve">. </w:t>
            </w:r>
            <w:r>
              <w:rPr>
                <w:rFonts w:cs="Arial"/>
                <w:sz w:val="20"/>
                <w:szCs w:val="20"/>
              </w:rPr>
              <w:t xml:space="preserve">The complexity of demonstrating effect size in clinical trial is discussed below.  </w:t>
            </w:r>
          </w:p>
          <w:p w14:paraId="2C46E40D" w14:textId="634078DE" w:rsidR="002E3D4A" w:rsidRDefault="002E3D4A" w:rsidP="002E3D4A">
            <w:pPr>
              <w:cnfStyle w:val="000000010000" w:firstRow="0" w:lastRow="0" w:firstColumn="0" w:lastColumn="0" w:oddVBand="0" w:evenVBand="0" w:oddHBand="0" w:evenHBand="1" w:firstRowFirstColumn="0" w:firstRowLastColumn="0" w:lastRowFirstColumn="0" w:lastRowLastColumn="0"/>
              <w:rPr>
                <w:sz w:val="20"/>
                <w:szCs w:val="20"/>
              </w:rPr>
            </w:pPr>
          </w:p>
          <w:p w14:paraId="05F486C2" w14:textId="62053DE6" w:rsidR="002E3D4A" w:rsidRDefault="002E3D4A" w:rsidP="002E3D4A">
            <w:pPr>
              <w:pStyle w:val="FSTableText"/>
              <w:keepNext/>
              <w:keepLines/>
              <w:cnfStyle w:val="000000010000" w:firstRow="0" w:lastRow="0" w:firstColumn="0" w:lastColumn="0" w:oddVBand="0" w:evenVBand="0" w:oddHBand="0" w:evenHBand="1" w:firstRowFirstColumn="0" w:firstRowLastColumn="0" w:lastRowFirstColumn="0" w:lastRowLastColumn="0"/>
            </w:pPr>
            <w:r w:rsidRPr="00977DB8">
              <w:t xml:space="preserve">FSANZ </w:t>
            </w:r>
            <w:r>
              <w:t xml:space="preserve">concludes </w:t>
            </w:r>
            <w:r w:rsidRPr="00977DB8">
              <w:t xml:space="preserve">the evidence </w:t>
            </w:r>
            <w:r>
              <w:t>substantiates</w:t>
            </w:r>
            <w:r w:rsidRPr="00977DB8">
              <w:t xml:space="preserve"> the </w:t>
            </w:r>
            <w:r>
              <w:t>pathogen binding mechanism (</w:t>
            </w:r>
            <w:r w:rsidRPr="00977DB8">
              <w:t>anti-infective</w:t>
            </w:r>
            <w:r>
              <w:t>)</w:t>
            </w:r>
            <w:r w:rsidRPr="00977DB8">
              <w:t xml:space="preserve"> and bifidogenic effects</w:t>
            </w:r>
            <w:r>
              <w:t>.</w:t>
            </w:r>
            <w:r w:rsidRPr="00977DB8">
              <w:t xml:space="preserve"> </w:t>
            </w:r>
            <w:r>
              <w:t xml:space="preserve">And </w:t>
            </w:r>
            <w:r w:rsidRPr="00977DB8">
              <w:t xml:space="preserve">therefore considers </w:t>
            </w:r>
            <w:r>
              <w:t xml:space="preserve">the evidence </w:t>
            </w:r>
            <w:r w:rsidRPr="00977DB8">
              <w:t>is appropriate for the purpose of the proposed voluntary permission.</w:t>
            </w:r>
          </w:p>
        </w:tc>
      </w:tr>
      <w:tr w:rsidR="002E3D4A" w14:paraId="4371BF72" w14:textId="77777777" w:rsidTr="000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1FDF9988" w14:textId="7301670C" w:rsidR="002E3D4A" w:rsidRDefault="002E3D4A" w:rsidP="002E3D4A">
            <w:pPr>
              <w:pStyle w:val="FSTableText"/>
              <w:spacing w:before="60"/>
              <w:rPr>
                <w:b w:val="0"/>
              </w:rPr>
            </w:pPr>
            <w:r w:rsidRPr="009D03F5">
              <w:rPr>
                <w:b w:val="0"/>
              </w:rPr>
              <w:t xml:space="preserve">Concern that citing an anti-infective effect against the binding of </w:t>
            </w:r>
            <w:r w:rsidRPr="009D03F5">
              <w:rPr>
                <w:b w:val="0"/>
                <w:i/>
              </w:rPr>
              <w:t>Campylobacter jejuni</w:t>
            </w:r>
            <w:r w:rsidRPr="009D03F5">
              <w:rPr>
                <w:b w:val="0"/>
              </w:rPr>
              <w:t xml:space="preserve"> may be implying that such infection should be interpreted as normal in the development of infants. </w:t>
            </w:r>
          </w:p>
          <w:p w14:paraId="6011AD41" w14:textId="35BB8564" w:rsidR="002E3D4A" w:rsidRPr="00B71551" w:rsidRDefault="002E3D4A" w:rsidP="002E3D4A">
            <w:pPr>
              <w:pStyle w:val="FSTableText"/>
              <w:spacing w:before="60"/>
              <w:rPr>
                <w:b w:val="0"/>
                <w:sz w:val="18"/>
              </w:rPr>
            </w:pPr>
          </w:p>
          <w:p w14:paraId="40C19004" w14:textId="34BABED8" w:rsidR="002E3D4A" w:rsidRDefault="002E3D4A" w:rsidP="002E3D4A">
            <w:pPr>
              <w:keepNext/>
              <w:keepLines/>
              <w:spacing w:before="60"/>
              <w:rPr>
                <w:rFonts w:cs="Arial"/>
                <w:b w:val="0"/>
                <w:sz w:val="18"/>
                <w:szCs w:val="20"/>
              </w:rPr>
            </w:pPr>
            <w:r w:rsidRPr="00B71551">
              <w:rPr>
                <w:b w:val="0"/>
                <w:sz w:val="20"/>
              </w:rPr>
              <w:t>Considers a health outcome of this nature to be related to a high level health claim (serious disease) or a therapeutic or prophylactic effect or claim (prevention of a serious disease).</w:t>
            </w:r>
          </w:p>
        </w:tc>
        <w:tc>
          <w:tcPr>
            <w:tcW w:w="2108" w:type="dxa"/>
            <w:tcBorders>
              <w:left w:val="single" w:sz="4" w:space="0" w:color="auto"/>
              <w:right w:val="single" w:sz="4" w:space="0" w:color="auto"/>
            </w:tcBorders>
          </w:tcPr>
          <w:p w14:paraId="5CBEBF65" w14:textId="3B1C8899" w:rsidR="002E3D4A" w:rsidRDefault="002E3D4A" w:rsidP="002E3D4A">
            <w:pPr>
              <w:pStyle w:val="FSTableText"/>
              <w:keepNext/>
              <w:keepLines/>
              <w:spacing w:before="60"/>
              <w:cnfStyle w:val="000000100000" w:firstRow="0" w:lastRow="0" w:firstColumn="0" w:lastColumn="0" w:oddVBand="0" w:evenVBand="0" w:oddHBand="1" w:evenHBand="0" w:firstRowFirstColumn="0" w:firstRowLastColumn="0" w:lastRowFirstColumn="0" w:lastRowLastColumn="0"/>
            </w:pPr>
            <w:r w:rsidRPr="009D03F5">
              <w:t>NSW</w:t>
            </w:r>
            <w:r>
              <w:t>FA</w:t>
            </w:r>
          </w:p>
        </w:tc>
        <w:tc>
          <w:tcPr>
            <w:tcW w:w="6378" w:type="dxa"/>
            <w:tcBorders>
              <w:left w:val="single" w:sz="4" w:space="0" w:color="auto"/>
            </w:tcBorders>
          </w:tcPr>
          <w:p w14:paraId="34EE3624" w14:textId="25A62A3B" w:rsidR="002E3D4A" w:rsidRDefault="002E3D4A" w:rsidP="002E3D4A">
            <w:pPr>
              <w:spacing w:before="6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As noted, t</w:t>
            </w:r>
            <w:r w:rsidRPr="009D03F5">
              <w:rPr>
                <w:rFonts w:cs="Arial"/>
                <w:sz w:val="20"/>
                <w:szCs w:val="20"/>
              </w:rPr>
              <w:t xml:space="preserve">he evidence demonstrated a specific binding mechanism for 2’-FL and invasive strains of </w:t>
            </w:r>
            <w:r w:rsidRPr="007A4D18">
              <w:rPr>
                <w:rFonts w:cs="Arial"/>
                <w:i/>
                <w:sz w:val="20"/>
                <w:szCs w:val="20"/>
              </w:rPr>
              <w:t xml:space="preserve">C. </w:t>
            </w:r>
            <w:r w:rsidRPr="007A4D18" w:rsidDel="00696EAA">
              <w:rPr>
                <w:rFonts w:cs="Arial"/>
                <w:i/>
                <w:sz w:val="20"/>
                <w:szCs w:val="20"/>
              </w:rPr>
              <w:t>jejuni</w:t>
            </w:r>
            <w:r w:rsidRPr="009D03F5" w:rsidDel="00696EAA">
              <w:rPr>
                <w:rFonts w:cs="Arial"/>
                <w:sz w:val="20"/>
                <w:szCs w:val="20"/>
              </w:rPr>
              <w:t xml:space="preserve"> </w:t>
            </w:r>
            <w:r w:rsidRPr="009D03F5">
              <w:rPr>
                <w:rFonts w:cs="Arial"/>
                <w:sz w:val="20"/>
                <w:szCs w:val="20"/>
              </w:rPr>
              <w:t xml:space="preserve">in cell culture studies. These results were corroborated in animal challenge studies where disease severity from invasive </w:t>
            </w:r>
            <w:r w:rsidRPr="00BC4E65">
              <w:rPr>
                <w:rFonts w:cs="Arial"/>
                <w:i/>
                <w:sz w:val="20"/>
                <w:szCs w:val="20"/>
              </w:rPr>
              <w:t>C. jejuni</w:t>
            </w:r>
            <w:r w:rsidRPr="009D03F5">
              <w:rPr>
                <w:rFonts w:cs="Arial"/>
                <w:sz w:val="20"/>
                <w:szCs w:val="20"/>
              </w:rPr>
              <w:t xml:space="preserve"> infection was markedly reduced in animals fed 2’-FL. </w:t>
            </w:r>
          </w:p>
          <w:p w14:paraId="319FC9D0" w14:textId="7E724B56" w:rsidR="002E3D4A" w:rsidRDefault="002E3D4A" w:rsidP="002E3D4A">
            <w:pPr>
              <w:spacing w:before="6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As noted in </w:t>
            </w:r>
            <w:hyperlink r:id="rId26" w:history="1">
              <w:r w:rsidRPr="005E522C">
                <w:rPr>
                  <w:rStyle w:val="Hyperlink"/>
                  <w:rFonts w:cs="Arial"/>
                  <w:sz w:val="20"/>
                  <w:szCs w:val="20"/>
                </w:rPr>
                <w:t>SD1</w:t>
              </w:r>
            </w:hyperlink>
            <w:r>
              <w:rPr>
                <w:rFonts w:cs="Arial"/>
                <w:sz w:val="20"/>
                <w:szCs w:val="20"/>
              </w:rPr>
              <w:t xml:space="preserve"> breastfeeding exclusively from 3</w:t>
            </w:r>
            <w:r w:rsidR="00C13C86">
              <w:rPr>
                <w:rFonts w:cs="Arial"/>
                <w:sz w:val="20"/>
                <w:szCs w:val="20"/>
              </w:rPr>
              <w:t>–</w:t>
            </w:r>
            <w:r>
              <w:rPr>
                <w:rFonts w:cs="Arial"/>
                <w:sz w:val="20"/>
                <w:szCs w:val="20"/>
              </w:rPr>
              <w:t>6 months is associated with a significant reduction in gastrointestinal tract infections. Given Camplyobacter infections are one of the most causes of gastrointestinal disease</w:t>
            </w:r>
            <w:r>
              <w:rPr>
                <w:rStyle w:val="FootnoteReference"/>
                <w:rFonts w:cs="Arial"/>
                <w:sz w:val="20"/>
                <w:szCs w:val="20"/>
              </w:rPr>
              <w:footnoteReference w:id="12"/>
            </w:r>
            <w:r>
              <w:rPr>
                <w:rFonts w:cs="Arial"/>
                <w:sz w:val="20"/>
                <w:szCs w:val="20"/>
              </w:rPr>
              <w:t>, particulaly in children under 5 years of age</w:t>
            </w:r>
            <w:r>
              <w:rPr>
                <w:rStyle w:val="FootnoteReference"/>
                <w:rFonts w:cs="Arial"/>
                <w:sz w:val="20"/>
                <w:szCs w:val="20"/>
              </w:rPr>
              <w:footnoteReference w:id="13"/>
            </w:r>
            <w:r>
              <w:rPr>
                <w:rFonts w:cs="Arial"/>
                <w:sz w:val="20"/>
                <w:szCs w:val="20"/>
              </w:rPr>
              <w:t xml:space="preserve"> ,</w:t>
            </w:r>
            <w:r w:rsidRPr="009D03F5">
              <w:rPr>
                <w:rFonts w:cs="Arial"/>
                <w:sz w:val="20"/>
                <w:szCs w:val="20"/>
              </w:rPr>
              <w:t xml:space="preserve">FSANZ considers it to be self-evident that any reduction in severity of an invasive infection with C. </w:t>
            </w:r>
            <w:r w:rsidRPr="00B3515B">
              <w:rPr>
                <w:rFonts w:cs="Arial"/>
                <w:i/>
                <w:sz w:val="20"/>
                <w:szCs w:val="20"/>
              </w:rPr>
              <w:t>jejuni</w:t>
            </w:r>
            <w:r w:rsidRPr="009D03F5">
              <w:rPr>
                <w:rFonts w:cs="Arial"/>
                <w:sz w:val="20"/>
                <w:szCs w:val="20"/>
              </w:rPr>
              <w:t xml:space="preserve"> is beneficial to infant</w:t>
            </w:r>
            <w:r>
              <w:rPr>
                <w:rFonts w:cs="Arial"/>
                <w:sz w:val="20"/>
                <w:szCs w:val="20"/>
              </w:rPr>
              <w:t xml:space="preserve">s and young children. A reduction in GI infections in formula-fed to rates similar of breastfed infants would align with intention of the ministerial policy guidelines (specific policy principles d &amp; e). </w:t>
            </w:r>
          </w:p>
          <w:p w14:paraId="2F641A0C" w14:textId="77777777" w:rsidR="002E3D4A" w:rsidRDefault="002E3D4A" w:rsidP="002E3D4A">
            <w:pPr>
              <w:spacing w:before="60"/>
              <w:cnfStyle w:val="000000100000" w:firstRow="0" w:lastRow="0" w:firstColumn="0" w:lastColumn="0" w:oddVBand="0" w:evenVBand="0" w:oddHBand="1" w:evenHBand="0" w:firstRowFirstColumn="0" w:firstRowLastColumn="0" w:lastRowFirstColumn="0" w:lastRowLastColumn="0"/>
              <w:rPr>
                <w:rFonts w:cs="Arial"/>
                <w:sz w:val="20"/>
                <w:szCs w:val="20"/>
              </w:rPr>
            </w:pPr>
          </w:p>
          <w:p w14:paraId="4BF197A2" w14:textId="5D57C463" w:rsidR="00127728" w:rsidRPr="00127728" w:rsidRDefault="00127728" w:rsidP="00127728">
            <w:pPr>
              <w:cnfStyle w:val="000000100000" w:firstRow="0" w:lastRow="0" w:firstColumn="0" w:lastColumn="0" w:oddVBand="0" w:evenVBand="0" w:oddHBand="1" w:evenHBand="0" w:firstRowFirstColumn="0" w:firstRowLastColumn="0" w:lastRowFirstColumn="0" w:lastRowLastColumn="0"/>
              <w:rPr>
                <w:sz w:val="20"/>
              </w:rPr>
            </w:pPr>
            <w:r w:rsidRPr="00127728">
              <w:rPr>
                <w:sz w:val="20"/>
                <w:szCs w:val="20"/>
              </w:rPr>
              <w:t xml:space="preserve">No claims are permitted on infant formula. </w:t>
            </w:r>
            <w:r w:rsidR="002E3D4A" w:rsidRPr="00127728">
              <w:rPr>
                <w:sz w:val="20"/>
                <w:szCs w:val="20"/>
              </w:rPr>
              <w:t>Although the health effects could be the subject of a health or therapeutic claim</w:t>
            </w:r>
            <w:r w:rsidR="00C13C86">
              <w:rPr>
                <w:sz w:val="20"/>
                <w:szCs w:val="20"/>
              </w:rPr>
              <w:t xml:space="preserve">, it is the description of the impact (eg reduced risk </w:t>
            </w:r>
            <w:r w:rsidR="00C13C86" w:rsidRPr="00C13C86">
              <w:rPr>
                <w:i/>
                <w:sz w:val="20"/>
                <w:szCs w:val="20"/>
              </w:rPr>
              <w:t>c.f.</w:t>
            </w:r>
            <w:r w:rsidR="00C13C86">
              <w:rPr>
                <w:sz w:val="20"/>
                <w:szCs w:val="20"/>
              </w:rPr>
              <w:t xml:space="preserve"> prevention) that </w:t>
            </w:r>
            <w:r w:rsidR="0027557C">
              <w:rPr>
                <w:sz w:val="20"/>
                <w:szCs w:val="20"/>
              </w:rPr>
              <w:t>affects</w:t>
            </w:r>
            <w:r w:rsidR="00C13C86">
              <w:rPr>
                <w:sz w:val="20"/>
                <w:szCs w:val="20"/>
              </w:rPr>
              <w:t xml:space="preserve"> its regulatory status.</w:t>
            </w:r>
            <w:r w:rsidRPr="00127728">
              <w:rPr>
                <w:sz w:val="20"/>
                <w:szCs w:val="20"/>
              </w:rPr>
              <w:t xml:space="preserve"> The Applicant did not apply for a permitted health claim for FSFYC. FSANZ considers that this assessment could not be used as</w:t>
            </w:r>
            <w:r w:rsidRPr="00127728">
              <w:rPr>
                <w:sz w:val="20"/>
              </w:rPr>
              <w:t xml:space="preserve"> the basis of a health claim, since asessment of any health claim was not part of FSANZ’s consideration of this application. </w:t>
            </w:r>
          </w:p>
          <w:p w14:paraId="65E54B82" w14:textId="3532F1AF" w:rsidR="00127728" w:rsidRDefault="00127728" w:rsidP="00127728">
            <w:pPr>
              <w:pStyle w:val="FSTableText"/>
              <w:keepNext/>
              <w:keepLines/>
              <w:cnfStyle w:val="000000100000" w:firstRow="0" w:lastRow="0" w:firstColumn="0" w:lastColumn="0" w:oddVBand="0" w:evenVBand="0" w:oddHBand="1" w:evenHBand="0" w:firstRowFirstColumn="0" w:firstRowLastColumn="0" w:lastRowFirstColumn="0" w:lastRowLastColumn="0"/>
            </w:pPr>
          </w:p>
          <w:p w14:paraId="1CC16CA5" w14:textId="1B86FC2E" w:rsidR="002E3D4A" w:rsidRDefault="002E3D4A" w:rsidP="00127728">
            <w:pPr>
              <w:pStyle w:val="FSTableText"/>
              <w:keepNext/>
              <w:keepLines/>
              <w:cnfStyle w:val="000000100000" w:firstRow="0" w:lastRow="0" w:firstColumn="0" w:lastColumn="0" w:oddVBand="0" w:evenVBand="0" w:oddHBand="1" w:evenHBand="0" w:firstRowFirstColumn="0" w:firstRowLastColumn="0" w:lastRowFirstColumn="0" w:lastRowLastColumn="0"/>
            </w:pPr>
            <w:r w:rsidRPr="00127728">
              <w:t>A high level health claim on FSFYC products would have to be approved through a separate application and would have to meet the requirements of Standard 1.2.7.</w:t>
            </w:r>
            <w:r>
              <w:t xml:space="preserve"> </w:t>
            </w:r>
          </w:p>
        </w:tc>
      </w:tr>
      <w:tr w:rsidR="002E3D4A" w14:paraId="577B1A92" w14:textId="77777777" w:rsidTr="000D4A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03AF970C" w14:textId="6EFB69E0" w:rsidR="002E3D4A" w:rsidRPr="009D03F5" w:rsidRDefault="002E3D4A" w:rsidP="002E3D4A">
            <w:pPr>
              <w:pStyle w:val="FSTableText"/>
              <w:spacing w:before="60"/>
              <w:rPr>
                <w:b w:val="0"/>
              </w:rPr>
            </w:pPr>
            <w:r>
              <w:rPr>
                <w:b w:val="0"/>
              </w:rPr>
              <w:t xml:space="preserve">Concerns about the </w:t>
            </w:r>
            <w:r w:rsidRPr="00D935A7">
              <w:rPr>
                <w:b w:val="0"/>
              </w:rPr>
              <w:t>quality, applicability and certainty of the current evidence to support the anti-infective and bifidogenic effects. Further clinical trials are required to substantiate these health benefits.</w:t>
            </w:r>
          </w:p>
        </w:tc>
        <w:tc>
          <w:tcPr>
            <w:tcW w:w="2108" w:type="dxa"/>
            <w:tcBorders>
              <w:left w:val="single" w:sz="4" w:space="0" w:color="auto"/>
              <w:right w:val="single" w:sz="4" w:space="0" w:color="auto"/>
            </w:tcBorders>
          </w:tcPr>
          <w:p w14:paraId="3825A787" w14:textId="76EF4946" w:rsidR="002E3D4A" w:rsidRPr="009D03F5" w:rsidRDefault="002E3D4A" w:rsidP="002E3D4A">
            <w:pPr>
              <w:spacing w:before="60"/>
              <w:cnfStyle w:val="000000010000" w:firstRow="0" w:lastRow="0" w:firstColumn="0" w:lastColumn="0" w:oddVBand="0" w:evenVBand="0" w:oddHBand="0" w:evenHBand="1" w:firstRowFirstColumn="0" w:firstRowLastColumn="0" w:lastRowFirstColumn="0" w:lastRowLastColumn="0"/>
              <w:rPr>
                <w:rFonts w:cs="Arial"/>
                <w:sz w:val="20"/>
                <w:szCs w:val="20"/>
              </w:rPr>
            </w:pPr>
            <w:r w:rsidRPr="009D03F5">
              <w:rPr>
                <w:rFonts w:cs="Arial"/>
                <w:sz w:val="20"/>
                <w:szCs w:val="20"/>
              </w:rPr>
              <w:t>Vic</w:t>
            </w:r>
            <w:r>
              <w:rPr>
                <w:rFonts w:cs="Arial"/>
                <w:sz w:val="20"/>
                <w:szCs w:val="20"/>
              </w:rPr>
              <w:t xml:space="preserve"> Govt, </w:t>
            </w:r>
            <w:r w:rsidRPr="009D03F5">
              <w:rPr>
                <w:rFonts w:cs="Arial"/>
                <w:sz w:val="20"/>
                <w:szCs w:val="20"/>
              </w:rPr>
              <w:t>SA Health</w:t>
            </w:r>
          </w:p>
          <w:p w14:paraId="02425B10" w14:textId="6AB683E8" w:rsidR="002E3D4A" w:rsidRPr="009D03F5" w:rsidRDefault="002E3D4A" w:rsidP="002E3D4A">
            <w:pPr>
              <w:pStyle w:val="FSTableText"/>
              <w:keepNext/>
              <w:keepLines/>
              <w:spacing w:before="60"/>
              <w:cnfStyle w:val="000000010000" w:firstRow="0" w:lastRow="0" w:firstColumn="0" w:lastColumn="0" w:oddVBand="0" w:evenVBand="0" w:oddHBand="0" w:evenHBand="1" w:firstRowFirstColumn="0" w:firstRowLastColumn="0" w:lastRowFirstColumn="0" w:lastRowLastColumn="0"/>
            </w:pPr>
          </w:p>
        </w:tc>
        <w:tc>
          <w:tcPr>
            <w:tcW w:w="6378" w:type="dxa"/>
            <w:tcBorders>
              <w:left w:val="single" w:sz="4" w:space="0" w:color="auto"/>
            </w:tcBorders>
          </w:tcPr>
          <w:p w14:paraId="1798B312" w14:textId="1D0F3024" w:rsidR="002E3D4A" w:rsidRDefault="002E3D4A" w:rsidP="002E3D4A">
            <w:pPr>
              <w:pStyle w:val="FSTableText"/>
              <w:spacing w:before="60"/>
              <w:cnfStyle w:val="000000010000" w:firstRow="0" w:lastRow="0" w:firstColumn="0" w:lastColumn="0" w:oddVBand="0" w:evenVBand="0" w:oddHBand="0" w:evenHBand="1" w:firstRowFirstColumn="0" w:firstRowLastColumn="0" w:lastRowFirstColumn="0" w:lastRowLastColumn="0"/>
            </w:pPr>
            <w:r>
              <w:t xml:space="preserve">Noted. Refer to the comments above regarding the applicability and certainty of the evidence base. </w:t>
            </w:r>
          </w:p>
          <w:p w14:paraId="581A88E3" w14:textId="3F31529F" w:rsidR="002E3D4A" w:rsidRDefault="002E3D4A" w:rsidP="002E3D4A">
            <w:pPr>
              <w:pStyle w:val="FSTableText"/>
              <w:cnfStyle w:val="000000010000" w:firstRow="0" w:lastRow="0" w:firstColumn="0" w:lastColumn="0" w:oddVBand="0" w:evenVBand="0" w:oddHBand="0" w:evenHBand="1" w:firstRowFirstColumn="0" w:firstRowLastColumn="0" w:lastRowFirstColumn="0" w:lastRowLastColumn="0"/>
            </w:pPr>
          </w:p>
          <w:p w14:paraId="49A34708" w14:textId="77777777" w:rsidR="00127728" w:rsidRDefault="002E3D4A" w:rsidP="002E3D4A">
            <w:pPr>
              <w:spacing w:before="60"/>
              <w:cnfStyle w:val="000000010000" w:firstRow="0" w:lastRow="0" w:firstColumn="0" w:lastColumn="0" w:oddVBand="0" w:evenVBand="0" w:oddHBand="0" w:evenHBand="1" w:firstRowFirstColumn="0" w:firstRowLastColumn="0" w:lastRowFirstColumn="0" w:lastRowLastColumn="0"/>
              <w:rPr>
                <w:color w:val="000000" w:themeColor="text1"/>
              </w:rPr>
            </w:pPr>
            <w:r w:rsidRPr="000D4ABD">
              <w:rPr>
                <w:color w:val="000000" w:themeColor="text1"/>
                <w:sz w:val="20"/>
              </w:rPr>
              <w:t xml:space="preserve">FSANZ considers it is neither feasible nor ethical to conduct human clinical trials in infants to demonstrate the protective effects in reducing severity of invasive </w:t>
            </w:r>
            <w:r w:rsidRPr="000D4ABD">
              <w:rPr>
                <w:i/>
                <w:color w:val="000000" w:themeColor="text1"/>
                <w:sz w:val="20"/>
              </w:rPr>
              <w:t>C. jejuni</w:t>
            </w:r>
            <w:r w:rsidRPr="000D4ABD">
              <w:rPr>
                <w:color w:val="000000" w:themeColor="text1"/>
                <w:sz w:val="20"/>
              </w:rPr>
              <w:t xml:space="preserve"> infection. We have relied on appropriate animal models</w:t>
            </w:r>
            <w:r>
              <w:rPr>
                <w:color w:val="000000" w:themeColor="text1"/>
              </w:rPr>
              <w:t xml:space="preserve">. </w:t>
            </w:r>
          </w:p>
          <w:p w14:paraId="7EE1DB9B" w14:textId="77777777" w:rsidR="00127728" w:rsidRPr="00B94E1C" w:rsidRDefault="00127728" w:rsidP="00B94E1C">
            <w:pPr>
              <w:cnfStyle w:val="000000010000" w:firstRow="0" w:lastRow="0" w:firstColumn="0" w:lastColumn="0" w:oddVBand="0" w:evenVBand="0" w:oddHBand="0" w:evenHBand="1" w:firstRowFirstColumn="0" w:firstRowLastColumn="0" w:lastRowFirstColumn="0" w:lastRowLastColumn="0"/>
              <w:rPr>
                <w:sz w:val="20"/>
              </w:rPr>
            </w:pPr>
          </w:p>
          <w:p w14:paraId="5F546503" w14:textId="7B4EC39E" w:rsidR="00B94E1C" w:rsidRPr="00B94E1C" w:rsidRDefault="00127728" w:rsidP="00B94E1C">
            <w:pPr>
              <w:cnfStyle w:val="000000010000" w:firstRow="0" w:lastRow="0" w:firstColumn="0" w:lastColumn="0" w:oddVBand="0" w:evenVBand="0" w:oddHBand="0" w:evenHBand="1" w:firstRowFirstColumn="0" w:firstRowLastColumn="0" w:lastRowFirstColumn="0" w:lastRowLastColumn="0"/>
              <w:rPr>
                <w:sz w:val="20"/>
              </w:rPr>
            </w:pPr>
            <w:r w:rsidRPr="00B94E1C">
              <w:rPr>
                <w:sz w:val="20"/>
              </w:rPr>
              <w:t>As discussed in SD1 and section 2.2.3.1</w:t>
            </w:r>
            <w:r w:rsidR="00B94E1C" w:rsidRPr="00B94E1C">
              <w:rPr>
                <w:sz w:val="20"/>
              </w:rPr>
              <w:t xml:space="preserve"> the composition of the microbiota depend</w:t>
            </w:r>
            <w:r w:rsidR="00C13C86">
              <w:rPr>
                <w:sz w:val="20"/>
              </w:rPr>
              <w:t>s</w:t>
            </w:r>
            <w:r w:rsidR="00B94E1C" w:rsidRPr="00B94E1C">
              <w:rPr>
                <w:sz w:val="20"/>
              </w:rPr>
              <w:t xml:space="preserve"> on a range of factors. Breastfed infants are typically referred to in the scientific literature as the reference standard for the normal healthy development of gut microflora in infants</w:t>
            </w:r>
            <w:r w:rsidR="0027557C">
              <w:rPr>
                <w:sz w:val="20"/>
              </w:rPr>
              <w:t xml:space="preserve">. </w:t>
            </w:r>
            <w:r w:rsidR="0027557C" w:rsidRPr="00B94E1C">
              <w:rPr>
                <w:sz w:val="20"/>
              </w:rPr>
              <w:t xml:space="preserve">Breastfed </w:t>
            </w:r>
            <w:r w:rsidR="00B94E1C" w:rsidRPr="00B94E1C">
              <w:rPr>
                <w:sz w:val="20"/>
              </w:rPr>
              <w:t>infants typically have a a higher relative abundance of bifidobacteria compared to formula</w:t>
            </w:r>
            <w:r w:rsidR="0027557C">
              <w:rPr>
                <w:sz w:val="20"/>
              </w:rPr>
              <w:t>-</w:t>
            </w:r>
            <w:r w:rsidR="00B94E1C" w:rsidRPr="00B94E1C">
              <w:rPr>
                <w:sz w:val="20"/>
              </w:rPr>
              <w:t>fed infants.</w:t>
            </w:r>
            <w:r w:rsidR="00B94E1C">
              <w:rPr>
                <w:sz w:val="20"/>
              </w:rPr>
              <w:t xml:space="preserve"> </w:t>
            </w:r>
            <w:r w:rsidR="00B94E1C" w:rsidRPr="00B94E1C">
              <w:rPr>
                <w:sz w:val="20"/>
              </w:rPr>
              <w:t>There are also a number of complexities and difficulty of measuring outcomes of dietary interventions to modulate the intestinal microbiota</w:t>
            </w:r>
            <w:r w:rsidR="00B94E1C">
              <w:rPr>
                <w:sz w:val="20"/>
              </w:rPr>
              <w:t xml:space="preserve">, thus clinical trials are not the most appropriate evidence base. </w:t>
            </w:r>
            <w:r w:rsidR="00B94E1C" w:rsidRPr="00B94E1C">
              <w:rPr>
                <w:sz w:val="20"/>
              </w:rPr>
              <w:t>Our assessment establish</w:t>
            </w:r>
            <w:r w:rsidR="00B94E1C">
              <w:rPr>
                <w:sz w:val="20"/>
              </w:rPr>
              <w:t>ed</w:t>
            </w:r>
            <w:r w:rsidR="00B94E1C" w:rsidRPr="00B94E1C">
              <w:rPr>
                <w:sz w:val="20"/>
              </w:rPr>
              <w:t xml:space="preserve"> the evidence for a mechanism or mode of action underpinning the bifidogenic effect</w:t>
            </w:r>
            <w:r w:rsidR="00B94E1C">
              <w:rPr>
                <w:sz w:val="20"/>
              </w:rPr>
              <w:t xml:space="preserve"> with </w:t>
            </w:r>
            <w:r w:rsidR="00B94E1C" w:rsidRPr="00B94E1C">
              <w:rPr>
                <w:sz w:val="20"/>
              </w:rPr>
              <w:t>in vitro studies</w:t>
            </w:r>
            <w:r w:rsidR="00B94E1C">
              <w:rPr>
                <w:sz w:val="20"/>
              </w:rPr>
              <w:t xml:space="preserve">. </w:t>
            </w:r>
            <w:r w:rsidR="00B94E1C" w:rsidRPr="00B94E1C">
              <w:rPr>
                <w:sz w:val="20"/>
              </w:rPr>
              <w:t>We then assessed evidence from studies assessing microbiota development of breastfed and formula</w:t>
            </w:r>
            <w:r w:rsidR="0027557C">
              <w:rPr>
                <w:sz w:val="20"/>
              </w:rPr>
              <w:t>-</w:t>
            </w:r>
            <w:r w:rsidR="00B94E1C" w:rsidRPr="00B94E1C">
              <w:rPr>
                <w:sz w:val="20"/>
              </w:rPr>
              <w:t xml:space="preserve">fed infants showing presence of fucosylated oligosaccharides has a bifidogenic effect and </w:t>
            </w:r>
            <w:r w:rsidR="00B94E1C">
              <w:rPr>
                <w:sz w:val="20"/>
              </w:rPr>
              <w:t xml:space="preserve">shifts </w:t>
            </w:r>
            <w:r w:rsidR="00B94E1C" w:rsidRPr="00B94E1C">
              <w:rPr>
                <w:sz w:val="20"/>
              </w:rPr>
              <w:t xml:space="preserve">microbiota composition </w:t>
            </w:r>
            <w:r w:rsidR="00B94E1C">
              <w:rPr>
                <w:sz w:val="20"/>
              </w:rPr>
              <w:t>to be more similar to breastfed infants. C</w:t>
            </w:r>
            <w:r w:rsidR="00B94E1C" w:rsidRPr="00B94E1C">
              <w:rPr>
                <w:sz w:val="20"/>
              </w:rPr>
              <w:t xml:space="preserve">linical trial evidence showed that formula supplemented with 2’FL and LNnT was both bifidogenic and also resulted in a shift to a intestinal microflora composition that more closely resembled that of the breastfed infants. </w:t>
            </w:r>
          </w:p>
          <w:p w14:paraId="46AC3507" w14:textId="085D27EB" w:rsidR="002E3D4A" w:rsidRDefault="002E3D4A" w:rsidP="00B94E1C">
            <w:pPr>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2E3D4A" w14:paraId="40CD7DE5" w14:textId="77777777" w:rsidTr="000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53FCE03B" w14:textId="5AF057FA" w:rsidR="002E3D4A" w:rsidRDefault="002E3D4A" w:rsidP="002E3D4A">
            <w:pPr>
              <w:spacing w:before="60"/>
              <w:rPr>
                <w:rFonts w:cs="Arial"/>
                <w:b w:val="0"/>
                <w:sz w:val="20"/>
                <w:szCs w:val="20"/>
              </w:rPr>
            </w:pPr>
            <w:r w:rsidRPr="009D03F5">
              <w:rPr>
                <w:b w:val="0"/>
                <w:sz w:val="20"/>
                <w:szCs w:val="20"/>
              </w:rPr>
              <w:t xml:space="preserve">There is a lack of certainty for the bifidogenic effect as a result of supplementing infant formula with </w:t>
            </w:r>
            <w:r w:rsidRPr="009D03F5">
              <w:rPr>
                <w:rFonts w:cs="Arial"/>
                <w:b w:val="0"/>
                <w:iCs/>
                <w:sz w:val="20"/>
                <w:szCs w:val="20"/>
              </w:rPr>
              <w:t>2’-FL and LNnT. The evidence base does not enable the extent of the effect and relies o</w:t>
            </w:r>
            <w:r>
              <w:rPr>
                <w:rFonts w:cs="Arial"/>
                <w:b w:val="0"/>
                <w:iCs/>
                <w:sz w:val="20"/>
                <w:szCs w:val="20"/>
              </w:rPr>
              <w:t>n</w:t>
            </w:r>
            <w:r w:rsidRPr="009D03F5">
              <w:rPr>
                <w:rFonts w:cs="Arial"/>
                <w:b w:val="0"/>
                <w:iCs/>
                <w:sz w:val="20"/>
                <w:szCs w:val="20"/>
              </w:rPr>
              <w:t xml:space="preserve"> h</w:t>
            </w:r>
            <w:r w:rsidRPr="009D03F5">
              <w:rPr>
                <w:rFonts w:cs="Arial"/>
                <w:b w:val="0"/>
                <w:sz w:val="20"/>
                <w:szCs w:val="20"/>
              </w:rPr>
              <w:t>uman milk studies</w:t>
            </w:r>
            <w:r>
              <w:rPr>
                <w:rFonts w:cs="Arial"/>
                <w:b w:val="0"/>
                <w:sz w:val="20"/>
                <w:szCs w:val="20"/>
              </w:rPr>
              <w:t>.</w:t>
            </w:r>
            <w:r w:rsidRPr="009D03F5">
              <w:rPr>
                <w:rFonts w:cs="Arial"/>
                <w:b w:val="0"/>
                <w:sz w:val="20"/>
                <w:szCs w:val="20"/>
              </w:rPr>
              <w:t xml:space="preserve"> </w:t>
            </w:r>
          </w:p>
          <w:p w14:paraId="27330AE8" w14:textId="696549F5" w:rsidR="002E3D4A" w:rsidRDefault="002E3D4A" w:rsidP="002E3D4A">
            <w:pPr>
              <w:rPr>
                <w:rFonts w:cs="Arial"/>
                <w:b w:val="0"/>
                <w:sz w:val="20"/>
                <w:szCs w:val="20"/>
              </w:rPr>
            </w:pPr>
          </w:p>
          <w:p w14:paraId="4A308558" w14:textId="15039FA9" w:rsidR="002E3D4A" w:rsidRPr="009D03F5" w:rsidRDefault="002E3D4A" w:rsidP="002E3D4A">
            <w:pPr>
              <w:pStyle w:val="FSTableText"/>
              <w:spacing w:before="60"/>
              <w:rPr>
                <w:b w:val="0"/>
              </w:rPr>
            </w:pPr>
            <w:r>
              <w:rPr>
                <w:b w:val="0"/>
              </w:rPr>
              <w:t>R</w:t>
            </w:r>
            <w:r w:rsidRPr="00B525F9">
              <w:rPr>
                <w:b w:val="0"/>
              </w:rPr>
              <w:t xml:space="preserve">ather than producing a general bifidogenic effect, the evidence suggests the effect of human milk oligosaccharides in </w:t>
            </w:r>
            <w:r>
              <w:rPr>
                <w:b w:val="0"/>
              </w:rPr>
              <w:t>breast milk</w:t>
            </w:r>
            <w:r w:rsidRPr="00B525F9">
              <w:rPr>
                <w:b w:val="0"/>
              </w:rPr>
              <w:t xml:space="preserve"> is to encourage only certain types of </w:t>
            </w:r>
            <w:r w:rsidRPr="00B525F9">
              <w:rPr>
                <w:b w:val="0"/>
                <w:i/>
                <w:iCs/>
              </w:rPr>
              <w:t>Bifidobacteria</w:t>
            </w:r>
          </w:p>
        </w:tc>
        <w:tc>
          <w:tcPr>
            <w:tcW w:w="2108" w:type="dxa"/>
            <w:tcBorders>
              <w:left w:val="single" w:sz="4" w:space="0" w:color="auto"/>
              <w:right w:val="single" w:sz="4" w:space="0" w:color="auto"/>
            </w:tcBorders>
          </w:tcPr>
          <w:p w14:paraId="42784ED2" w14:textId="6F8C1A3A" w:rsidR="002E3D4A" w:rsidRPr="009D03F5" w:rsidRDefault="002E3D4A" w:rsidP="002E3D4A">
            <w:pPr>
              <w:pStyle w:val="FSTableText"/>
              <w:keepNext/>
              <w:keepLines/>
              <w:spacing w:before="60"/>
              <w:cnfStyle w:val="000000100000" w:firstRow="0" w:lastRow="0" w:firstColumn="0" w:lastColumn="0" w:oddVBand="0" w:evenVBand="0" w:oddHBand="1" w:evenHBand="0" w:firstRowFirstColumn="0" w:firstRowLastColumn="0" w:lastRowFirstColumn="0" w:lastRowLastColumn="0"/>
            </w:pPr>
            <w:r w:rsidRPr="001963A1">
              <w:rPr>
                <w:bCs/>
              </w:rPr>
              <w:t>NSWFA, Vic Govt</w:t>
            </w:r>
            <w:r>
              <w:t xml:space="preserve"> </w:t>
            </w:r>
          </w:p>
        </w:tc>
        <w:tc>
          <w:tcPr>
            <w:tcW w:w="6378" w:type="dxa"/>
            <w:tcBorders>
              <w:left w:val="single" w:sz="4" w:space="0" w:color="auto"/>
            </w:tcBorders>
          </w:tcPr>
          <w:p w14:paraId="1C749D91" w14:textId="572D0AE7" w:rsidR="002E3D4A" w:rsidRDefault="002E3D4A" w:rsidP="0027557C">
            <w:pPr>
              <w:spacing w:before="6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As discussed in </w:t>
            </w:r>
            <w:hyperlink r:id="rId27" w:history="1">
              <w:r w:rsidRPr="00B525F9">
                <w:rPr>
                  <w:rStyle w:val="Hyperlink"/>
                  <w:rFonts w:cs="Arial"/>
                  <w:sz w:val="20"/>
                  <w:szCs w:val="20"/>
                </w:rPr>
                <w:t>section 4.2.1 of SD1 to the 2</w:t>
              </w:r>
              <w:r w:rsidRPr="00B525F9">
                <w:rPr>
                  <w:rStyle w:val="Hyperlink"/>
                  <w:rFonts w:cs="Arial"/>
                  <w:sz w:val="20"/>
                  <w:szCs w:val="20"/>
                  <w:vertAlign w:val="superscript"/>
                </w:rPr>
                <w:t>nd</w:t>
              </w:r>
              <w:r w:rsidRPr="00B525F9">
                <w:rPr>
                  <w:rStyle w:val="Hyperlink"/>
                  <w:rFonts w:cs="Arial"/>
                  <w:sz w:val="20"/>
                  <w:szCs w:val="20"/>
                </w:rPr>
                <w:t xml:space="preserve"> CFS</w:t>
              </w:r>
            </w:hyperlink>
            <w:r>
              <w:rPr>
                <w:rFonts w:cs="Arial"/>
                <w:sz w:val="20"/>
                <w:szCs w:val="20"/>
              </w:rPr>
              <w:t xml:space="preserve">, </w:t>
            </w:r>
            <w:r>
              <w:rPr>
                <w:sz w:val="20"/>
                <w:szCs w:val="20"/>
              </w:rPr>
              <w:t>i</w:t>
            </w:r>
            <w:r w:rsidRPr="009D03F5">
              <w:rPr>
                <w:sz w:val="20"/>
                <w:szCs w:val="20"/>
              </w:rPr>
              <w:t>ndividuals</w:t>
            </w:r>
            <w:r w:rsidR="0027557C">
              <w:rPr>
                <w:sz w:val="20"/>
                <w:szCs w:val="20"/>
              </w:rPr>
              <w:t>’</w:t>
            </w:r>
            <w:r w:rsidRPr="009D03F5">
              <w:rPr>
                <w:sz w:val="20"/>
                <w:szCs w:val="20"/>
              </w:rPr>
              <w:t xml:space="preserve"> (infants, children and adults) intestinal microbial ecosystems all vary. </w:t>
            </w:r>
            <w:r>
              <w:rPr>
                <w:sz w:val="20"/>
                <w:szCs w:val="20"/>
              </w:rPr>
              <w:t>A</w:t>
            </w:r>
            <w:r>
              <w:rPr>
                <w:rFonts w:cs="Arial"/>
                <w:sz w:val="20"/>
                <w:szCs w:val="20"/>
              </w:rPr>
              <w:t xml:space="preserve"> range of</w:t>
            </w:r>
            <w:r w:rsidRPr="009E207F">
              <w:rPr>
                <w:lang w:eastAsia="en-AU" w:bidi="ar-SA"/>
              </w:rPr>
              <w:t xml:space="preserve"> </w:t>
            </w:r>
            <w:r w:rsidRPr="00B525F9">
              <w:rPr>
                <w:i/>
                <w:sz w:val="20"/>
                <w:lang w:eastAsia="en-AU" w:bidi="ar-SA"/>
              </w:rPr>
              <w:t>Bifidobacterium</w:t>
            </w:r>
            <w:r w:rsidRPr="00B525F9">
              <w:rPr>
                <w:sz w:val="20"/>
                <w:lang w:eastAsia="en-AU" w:bidi="ar-SA"/>
              </w:rPr>
              <w:t xml:space="preserve"> species ha</w:t>
            </w:r>
            <w:r w:rsidR="0027557C">
              <w:rPr>
                <w:sz w:val="20"/>
                <w:lang w:eastAsia="en-AU" w:bidi="ar-SA"/>
              </w:rPr>
              <w:t>s</w:t>
            </w:r>
            <w:r w:rsidRPr="00B525F9">
              <w:rPr>
                <w:sz w:val="20"/>
                <w:lang w:eastAsia="en-AU" w:bidi="ar-SA"/>
              </w:rPr>
              <w:t xml:space="preserve"> been identified in infant and adult faecal samples</w:t>
            </w:r>
            <w:r>
              <w:rPr>
                <w:sz w:val="20"/>
                <w:lang w:eastAsia="en-AU" w:bidi="ar-SA"/>
              </w:rPr>
              <w:t xml:space="preserve">. </w:t>
            </w:r>
            <w:r w:rsidRPr="00B525F9">
              <w:rPr>
                <w:sz w:val="20"/>
                <w:szCs w:val="20"/>
                <w:lang w:eastAsia="en-AU" w:bidi="ar-SA"/>
              </w:rPr>
              <w:t>In infants there are differences in the microflora of infants fed human milk vs infant formula.</w:t>
            </w:r>
            <w:r>
              <w:rPr>
                <w:sz w:val="20"/>
                <w:szCs w:val="20"/>
                <w:lang w:eastAsia="en-AU" w:bidi="ar-SA"/>
              </w:rPr>
              <w:t xml:space="preserve"> The evidence does show differences in how some </w:t>
            </w:r>
            <w:r w:rsidRPr="00DB36AC">
              <w:rPr>
                <w:i/>
                <w:iCs/>
                <w:sz w:val="20"/>
                <w:szCs w:val="20"/>
              </w:rPr>
              <w:t>Bifidobacteria</w:t>
            </w:r>
            <w:r w:rsidRPr="00DB36AC">
              <w:rPr>
                <w:sz w:val="20"/>
                <w:szCs w:val="20"/>
                <w:lang w:eastAsia="en-AU" w:bidi="ar-SA"/>
              </w:rPr>
              <w:t xml:space="preserve"> </w:t>
            </w:r>
            <w:r>
              <w:rPr>
                <w:sz w:val="20"/>
                <w:szCs w:val="20"/>
                <w:lang w:eastAsia="en-AU" w:bidi="ar-SA"/>
              </w:rPr>
              <w:t xml:space="preserve">species </w:t>
            </w:r>
            <w:r w:rsidRPr="00DB36AC">
              <w:rPr>
                <w:sz w:val="20"/>
                <w:szCs w:val="20"/>
                <w:lang w:eastAsia="en-AU" w:bidi="ar-SA"/>
              </w:rPr>
              <w:t>utili</w:t>
            </w:r>
            <w:r>
              <w:rPr>
                <w:sz w:val="20"/>
                <w:szCs w:val="20"/>
                <w:lang w:eastAsia="en-AU" w:bidi="ar-SA"/>
              </w:rPr>
              <w:t xml:space="preserve">se human milk oligosaccharides. </w:t>
            </w:r>
            <w:r w:rsidRPr="009D03F5">
              <w:rPr>
                <w:sz w:val="20"/>
                <w:szCs w:val="20"/>
              </w:rPr>
              <w:t xml:space="preserve">Depending on individual intestinal microbial ecosystems, some infants will respond positively to 2’FL and LNnT supplementation (responders) and others will not (non-responders). Due to these complexities and the difficulty of differentiating between responders and non-responders at the commencement of a clinical trial, FSANZ considers that the evidence assessed and the conclusions reached for the purpose </w:t>
            </w:r>
            <w:r>
              <w:rPr>
                <w:sz w:val="20"/>
                <w:szCs w:val="20"/>
              </w:rPr>
              <w:t xml:space="preserve">of </w:t>
            </w:r>
            <w:r w:rsidRPr="009D03F5">
              <w:rPr>
                <w:sz w:val="20"/>
                <w:szCs w:val="20"/>
              </w:rPr>
              <w:t>voluntary addition of 2’FL and LNnT to infant formula and FYSYC is appropriate and reasonable.</w:t>
            </w:r>
            <w:r>
              <w:rPr>
                <w:sz w:val="20"/>
                <w:szCs w:val="20"/>
              </w:rPr>
              <w:t xml:space="preserve"> Also that the available evidence supports that </w:t>
            </w:r>
            <w:r w:rsidRPr="009D03F5">
              <w:rPr>
                <w:sz w:val="20"/>
                <w:szCs w:val="20"/>
              </w:rPr>
              <w:t xml:space="preserve">2’FL and LNnT supplementation of infant formula and FSFYC may lead to an increase in bifidobacteria abundance and </w:t>
            </w:r>
            <w:r>
              <w:rPr>
                <w:sz w:val="20"/>
                <w:szCs w:val="20"/>
              </w:rPr>
              <w:t xml:space="preserve">short chain fatty acid </w:t>
            </w:r>
            <w:r w:rsidRPr="009D03F5">
              <w:rPr>
                <w:sz w:val="20"/>
                <w:szCs w:val="20"/>
              </w:rPr>
              <w:t>production.</w:t>
            </w:r>
          </w:p>
        </w:tc>
      </w:tr>
      <w:tr w:rsidR="002E3D4A" w14:paraId="4080E539" w14:textId="77777777" w:rsidTr="000D4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6E230488" w14:textId="02C0DFAB" w:rsidR="002E3D4A" w:rsidRDefault="002E3D4A" w:rsidP="002E3D4A">
            <w:pPr>
              <w:pStyle w:val="FSTableText"/>
              <w:keepNext/>
              <w:keepLines/>
              <w:spacing w:before="60"/>
              <w:rPr>
                <w:b w:val="0"/>
              </w:rPr>
            </w:pPr>
            <w:r w:rsidRPr="00210F54">
              <w:rPr>
                <w:sz w:val="22"/>
              </w:rPr>
              <w:t>Addition to infant formula</w:t>
            </w:r>
          </w:p>
        </w:tc>
        <w:tc>
          <w:tcPr>
            <w:tcW w:w="2108" w:type="dxa"/>
            <w:tcBorders>
              <w:left w:val="single" w:sz="4" w:space="0" w:color="auto"/>
              <w:right w:val="single" w:sz="4" w:space="0" w:color="auto"/>
            </w:tcBorders>
          </w:tcPr>
          <w:p w14:paraId="5071C739" w14:textId="77777777" w:rsidR="002E3D4A" w:rsidRDefault="002E3D4A" w:rsidP="002E3D4A">
            <w:pPr>
              <w:pStyle w:val="FSTableText"/>
              <w:keepNext/>
              <w:keepLines/>
              <w:spacing w:before="60"/>
              <w:cnfStyle w:val="000000010000" w:firstRow="0" w:lastRow="0" w:firstColumn="0" w:lastColumn="0" w:oddVBand="0" w:evenVBand="0" w:oddHBand="0" w:evenHBand="1" w:firstRowFirstColumn="0" w:firstRowLastColumn="0" w:lastRowFirstColumn="0" w:lastRowLastColumn="0"/>
            </w:pPr>
          </w:p>
        </w:tc>
        <w:tc>
          <w:tcPr>
            <w:tcW w:w="6378" w:type="dxa"/>
            <w:tcBorders>
              <w:left w:val="single" w:sz="4" w:space="0" w:color="auto"/>
            </w:tcBorders>
          </w:tcPr>
          <w:p w14:paraId="37F4AC40" w14:textId="07092994" w:rsidR="002E3D4A" w:rsidRDefault="002E3D4A" w:rsidP="002E3D4A">
            <w:pPr>
              <w:pStyle w:val="FSTableText"/>
              <w:keepNext/>
              <w:keepLines/>
              <w:cnfStyle w:val="000000010000" w:firstRow="0" w:lastRow="0" w:firstColumn="0" w:lastColumn="0" w:oddVBand="0" w:evenVBand="0" w:oddHBand="0" w:evenHBand="1" w:firstRowFirstColumn="0" w:firstRowLastColumn="0" w:lastRowFirstColumn="0" w:lastRowLastColumn="0"/>
            </w:pPr>
          </w:p>
        </w:tc>
      </w:tr>
      <w:tr w:rsidR="002E3D4A" w14:paraId="708D8BB7" w14:textId="77777777" w:rsidTr="000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bottom w:val="single" w:sz="4" w:space="0" w:color="auto"/>
              <w:right w:val="single" w:sz="4" w:space="0" w:color="auto"/>
            </w:tcBorders>
          </w:tcPr>
          <w:p w14:paraId="616C6E8D" w14:textId="453A0086" w:rsidR="002E3D4A" w:rsidRDefault="002E3D4A" w:rsidP="002E3D4A">
            <w:pPr>
              <w:pStyle w:val="FSTableText"/>
              <w:keepNext/>
              <w:keepLines/>
              <w:spacing w:before="60"/>
              <w:rPr>
                <w:b w:val="0"/>
              </w:rPr>
            </w:pPr>
            <w:r w:rsidRPr="00367DB5">
              <w:rPr>
                <w:b w:val="0"/>
              </w:rPr>
              <w:t>Support approval to voluntarily add at the pro</w:t>
            </w:r>
            <w:r>
              <w:rPr>
                <w:b w:val="0"/>
              </w:rPr>
              <w:t>po</w:t>
            </w:r>
            <w:r w:rsidRPr="00367DB5">
              <w:rPr>
                <w:b w:val="0"/>
              </w:rPr>
              <w:t>sed levels</w:t>
            </w:r>
            <w:r>
              <w:rPr>
                <w:b w:val="0"/>
              </w:rPr>
              <w:t xml:space="preserve"> on the basis that</w:t>
            </w:r>
            <w:r w:rsidRPr="00367DB5">
              <w:rPr>
                <w:b w:val="0"/>
              </w:rPr>
              <w:t xml:space="preserve"> </w:t>
            </w:r>
          </w:p>
          <w:p w14:paraId="5F05B32A" w14:textId="34645B09" w:rsidR="002E3D4A" w:rsidRPr="00066EC0" w:rsidRDefault="002E3D4A" w:rsidP="002E3D4A">
            <w:pPr>
              <w:pStyle w:val="ListParagraph"/>
              <w:keepNext/>
              <w:keepLines/>
              <w:numPr>
                <w:ilvl w:val="0"/>
                <w:numId w:val="8"/>
              </w:numPr>
              <w:ind w:left="453"/>
              <w:rPr>
                <w:rFonts w:cs="Arial"/>
                <w:b w:val="0"/>
                <w:sz w:val="20"/>
                <w:szCs w:val="20"/>
              </w:rPr>
            </w:pPr>
            <w:r>
              <w:rPr>
                <w:rFonts w:cs="Arial"/>
                <w:b w:val="0"/>
                <w:sz w:val="20"/>
                <w:szCs w:val="20"/>
              </w:rPr>
              <w:t>h</w:t>
            </w:r>
            <w:r w:rsidRPr="00066EC0">
              <w:rPr>
                <w:rFonts w:cs="Arial"/>
                <w:b w:val="0"/>
                <w:sz w:val="20"/>
                <w:szCs w:val="20"/>
              </w:rPr>
              <w:t xml:space="preserve">uman milk composition should be the primary reference for the composition of infant formula products. </w:t>
            </w:r>
          </w:p>
          <w:p w14:paraId="78B72C05" w14:textId="7331080B" w:rsidR="002E3D4A" w:rsidRPr="00066EC0" w:rsidRDefault="002E3D4A" w:rsidP="002E3D4A">
            <w:pPr>
              <w:pStyle w:val="ListParagraph"/>
              <w:keepNext/>
              <w:keepLines/>
              <w:numPr>
                <w:ilvl w:val="0"/>
                <w:numId w:val="8"/>
              </w:numPr>
              <w:ind w:left="453"/>
              <w:rPr>
                <w:rFonts w:cs="Arial"/>
                <w:b w:val="0"/>
                <w:sz w:val="20"/>
                <w:szCs w:val="20"/>
              </w:rPr>
            </w:pPr>
            <w:r>
              <w:rPr>
                <w:rFonts w:cs="Arial"/>
                <w:b w:val="0"/>
                <w:sz w:val="20"/>
                <w:szCs w:val="20"/>
              </w:rPr>
              <w:t>o</w:t>
            </w:r>
            <w:r w:rsidRPr="00066EC0">
              <w:rPr>
                <w:rFonts w:cs="Arial"/>
                <w:b w:val="0"/>
                <w:sz w:val="20"/>
                <w:szCs w:val="20"/>
              </w:rPr>
              <w:t xml:space="preserve">ligosaccharides are a major component of human milk and are present in higher amounts than protein, and 2’FL and LNnT are two of the most abundant HMOs present in human milk. </w:t>
            </w:r>
          </w:p>
          <w:p w14:paraId="02A36D19" w14:textId="724B10C8" w:rsidR="002E3D4A" w:rsidRPr="00066EC0" w:rsidRDefault="002E3D4A" w:rsidP="002E3D4A">
            <w:pPr>
              <w:pStyle w:val="ListParagraph"/>
              <w:keepNext/>
              <w:keepLines/>
              <w:numPr>
                <w:ilvl w:val="0"/>
                <w:numId w:val="8"/>
              </w:numPr>
              <w:ind w:left="453"/>
              <w:rPr>
                <w:rFonts w:cs="Arial"/>
                <w:b w:val="0"/>
                <w:sz w:val="20"/>
                <w:szCs w:val="20"/>
              </w:rPr>
            </w:pPr>
            <w:r>
              <w:rPr>
                <w:rFonts w:cs="Arial"/>
                <w:b w:val="0"/>
                <w:sz w:val="20"/>
                <w:szCs w:val="20"/>
              </w:rPr>
              <w:t>t</w:t>
            </w:r>
            <w:r w:rsidRPr="00066EC0">
              <w:rPr>
                <w:rFonts w:cs="Arial"/>
                <w:b w:val="0"/>
                <w:sz w:val="20"/>
                <w:szCs w:val="20"/>
              </w:rPr>
              <w:t xml:space="preserve">hey have been shown to be safe </w:t>
            </w:r>
          </w:p>
          <w:p w14:paraId="4EC89A5B" w14:textId="23BA3D5C" w:rsidR="002E3D4A" w:rsidRPr="00066EC0" w:rsidRDefault="002E3D4A" w:rsidP="002E3D4A">
            <w:pPr>
              <w:pStyle w:val="ListParagraph"/>
              <w:keepNext/>
              <w:keepLines/>
              <w:numPr>
                <w:ilvl w:val="0"/>
                <w:numId w:val="8"/>
              </w:numPr>
              <w:ind w:left="453"/>
              <w:rPr>
                <w:b w:val="0"/>
              </w:rPr>
            </w:pPr>
            <w:r>
              <w:rPr>
                <w:rFonts w:cs="Arial"/>
                <w:b w:val="0"/>
                <w:sz w:val="20"/>
                <w:szCs w:val="20"/>
              </w:rPr>
              <w:t>t</w:t>
            </w:r>
            <w:r w:rsidRPr="00066EC0">
              <w:rPr>
                <w:rFonts w:cs="Arial"/>
                <w:b w:val="0"/>
                <w:sz w:val="20"/>
                <w:szCs w:val="20"/>
              </w:rPr>
              <w:t xml:space="preserve">hese </w:t>
            </w:r>
            <w:r>
              <w:rPr>
                <w:rFonts w:cs="Arial"/>
                <w:b w:val="0"/>
                <w:sz w:val="20"/>
                <w:szCs w:val="20"/>
              </w:rPr>
              <w:t xml:space="preserve">oligosaccharides </w:t>
            </w:r>
            <w:r w:rsidRPr="00066EC0">
              <w:rPr>
                <w:rFonts w:cs="Arial"/>
                <w:b w:val="0"/>
                <w:sz w:val="20"/>
                <w:szCs w:val="20"/>
              </w:rPr>
              <w:t>are already available in infant formulas in</w:t>
            </w:r>
            <w:r>
              <w:rPr>
                <w:rFonts w:cs="Arial"/>
                <w:b w:val="0"/>
                <w:sz w:val="20"/>
                <w:szCs w:val="20"/>
              </w:rPr>
              <w:t xml:space="preserve"> many other countries including</w:t>
            </w:r>
            <w:r w:rsidRPr="00066EC0">
              <w:rPr>
                <w:rFonts w:cs="Arial"/>
                <w:b w:val="0"/>
                <w:sz w:val="20"/>
                <w:szCs w:val="20"/>
              </w:rPr>
              <w:t xml:space="preserve"> the USA</w:t>
            </w:r>
            <w:r>
              <w:rPr>
                <w:rFonts w:cs="Arial"/>
                <w:b w:val="0"/>
                <w:sz w:val="20"/>
                <w:szCs w:val="20"/>
              </w:rPr>
              <w:t xml:space="preserve"> </w:t>
            </w:r>
            <w:r w:rsidRPr="00066EC0">
              <w:rPr>
                <w:rFonts w:cs="Arial"/>
                <w:b w:val="0"/>
                <w:sz w:val="20"/>
                <w:szCs w:val="20"/>
              </w:rPr>
              <w:t>and across Europe where the evidence around the addition of these two HMOs has also been discussed and reviewed.</w:t>
            </w:r>
          </w:p>
          <w:p w14:paraId="3AD557D4" w14:textId="5269CB70" w:rsidR="002E3D4A" w:rsidRPr="00367DB5" w:rsidRDefault="002E3D4A" w:rsidP="002E3D4A">
            <w:pPr>
              <w:pStyle w:val="FSTableText"/>
              <w:keepNext/>
              <w:keepLines/>
              <w:rPr>
                <w:b w:val="0"/>
              </w:rPr>
            </w:pPr>
          </w:p>
        </w:tc>
        <w:tc>
          <w:tcPr>
            <w:tcW w:w="2108" w:type="dxa"/>
            <w:tcBorders>
              <w:left w:val="single" w:sz="4" w:space="0" w:color="auto"/>
              <w:right w:val="single" w:sz="4" w:space="0" w:color="auto"/>
            </w:tcBorders>
          </w:tcPr>
          <w:p w14:paraId="25973EBA" w14:textId="6E2CA033" w:rsidR="002E3D4A" w:rsidRPr="000778D6" w:rsidRDefault="002E3D4A" w:rsidP="002E3D4A">
            <w:pPr>
              <w:pStyle w:val="FSTableText"/>
              <w:keepNext/>
              <w:keepLines/>
              <w:spacing w:before="60"/>
              <w:cnfStyle w:val="000000100000" w:firstRow="0" w:lastRow="0" w:firstColumn="0" w:lastColumn="0" w:oddVBand="0" w:evenVBand="0" w:oddHBand="1" w:evenHBand="0" w:firstRowFirstColumn="0" w:firstRowLastColumn="0" w:lastRowFirstColumn="0" w:lastRowLastColumn="0"/>
            </w:pPr>
            <w:r>
              <w:t xml:space="preserve">Royal Australian College of Physicians (RACP), Infant Nutrition Council (INC), Glycom, NZ Food and Grocery Council (NZFGC), Australian Food and Grocery Council (AFGC), Danone, Fonterra, Dairy Goat Coop (DGC), Friesland Campina Ingredients, Dairy Companies Association of New Zealand (DCANZ) </w:t>
            </w:r>
          </w:p>
        </w:tc>
        <w:tc>
          <w:tcPr>
            <w:tcW w:w="6378" w:type="dxa"/>
            <w:tcBorders>
              <w:left w:val="single" w:sz="4" w:space="0" w:color="auto"/>
            </w:tcBorders>
          </w:tcPr>
          <w:p w14:paraId="364E2FD3" w14:textId="3D0007DA" w:rsidR="002E3D4A" w:rsidRPr="000778D6" w:rsidRDefault="002E3D4A" w:rsidP="002E3D4A">
            <w:pPr>
              <w:pStyle w:val="FSTableText"/>
              <w:keepNext/>
              <w:keepLines/>
              <w:cnfStyle w:val="000000100000" w:firstRow="0" w:lastRow="0" w:firstColumn="0" w:lastColumn="0" w:oddVBand="0" w:evenVBand="0" w:oddHBand="1" w:evenHBand="0" w:firstRowFirstColumn="0" w:firstRowLastColumn="0" w:lastRowFirstColumn="0" w:lastRowLastColumn="0"/>
            </w:pPr>
            <w:r>
              <w:t>Noted</w:t>
            </w:r>
          </w:p>
        </w:tc>
      </w:tr>
      <w:tr w:rsidR="002E3D4A" w14:paraId="6F9E6C1E" w14:textId="77777777" w:rsidTr="000D4A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674B696E" w14:textId="60086463" w:rsidR="002E3D4A" w:rsidRDefault="002E3D4A" w:rsidP="002E3D4A">
            <w:pPr>
              <w:rPr>
                <w:rFonts w:cs="Arial"/>
                <w:b w:val="0"/>
                <w:i/>
                <w:sz w:val="20"/>
                <w:szCs w:val="20"/>
              </w:rPr>
            </w:pPr>
            <w:r w:rsidRPr="00EA26C8">
              <w:rPr>
                <w:b w:val="0"/>
                <w:sz w:val="20"/>
              </w:rPr>
              <w:t xml:space="preserve">Do not support the </w:t>
            </w:r>
            <w:r>
              <w:rPr>
                <w:b w:val="0"/>
                <w:sz w:val="20"/>
              </w:rPr>
              <w:t xml:space="preserve">permission for </w:t>
            </w:r>
            <w:r w:rsidRPr="00EA26C8">
              <w:rPr>
                <w:b w:val="0"/>
                <w:sz w:val="20"/>
              </w:rPr>
              <w:t>voluntary addition 2′-FL and LNnT in</w:t>
            </w:r>
            <w:r>
              <w:rPr>
                <w:b w:val="0"/>
                <w:sz w:val="20"/>
              </w:rPr>
              <w:t xml:space="preserve"> </w:t>
            </w:r>
            <w:r w:rsidRPr="00EA26C8">
              <w:rPr>
                <w:b w:val="0"/>
                <w:sz w:val="20"/>
              </w:rPr>
              <w:t>infant formula and FSFYC, as the Applicant has not provided sufficient evidence to support a</w:t>
            </w:r>
            <w:r>
              <w:rPr>
                <w:b w:val="0"/>
                <w:sz w:val="20"/>
              </w:rPr>
              <w:t xml:space="preserve"> </w:t>
            </w:r>
            <w:r w:rsidRPr="00EA26C8">
              <w:rPr>
                <w:b w:val="0"/>
                <w:sz w:val="20"/>
              </w:rPr>
              <w:t xml:space="preserve">beneficial health outcome for the purposes of compliance with the </w:t>
            </w:r>
            <w:r w:rsidRPr="00EA26C8">
              <w:rPr>
                <w:b w:val="0"/>
                <w:i/>
                <w:sz w:val="20"/>
              </w:rPr>
              <w:t>Ministerial Policy Guideline for</w:t>
            </w:r>
            <w:r>
              <w:rPr>
                <w:b w:val="0"/>
                <w:i/>
                <w:sz w:val="20"/>
              </w:rPr>
              <w:t xml:space="preserve"> </w:t>
            </w:r>
            <w:r w:rsidRPr="00B56B17">
              <w:rPr>
                <w:rFonts w:cs="Arial"/>
                <w:b w:val="0"/>
                <w:i/>
                <w:sz w:val="20"/>
                <w:szCs w:val="20"/>
              </w:rPr>
              <w:t>Infant Formula Products</w:t>
            </w:r>
            <w:r>
              <w:rPr>
                <w:rFonts w:cs="Arial"/>
                <w:b w:val="0"/>
                <w:i/>
                <w:sz w:val="20"/>
                <w:szCs w:val="20"/>
              </w:rPr>
              <w:t xml:space="preserve">. </w:t>
            </w:r>
          </w:p>
          <w:p w14:paraId="4E22B28D" w14:textId="77777777" w:rsidR="002E3D4A" w:rsidRDefault="002E3D4A" w:rsidP="002E3D4A">
            <w:pPr>
              <w:rPr>
                <w:rFonts w:cs="Arial"/>
                <w:b w:val="0"/>
                <w:i/>
                <w:sz w:val="20"/>
                <w:szCs w:val="20"/>
              </w:rPr>
            </w:pPr>
          </w:p>
          <w:p w14:paraId="40CEF0AB" w14:textId="77E9AB6E" w:rsidR="002E3D4A" w:rsidRPr="00D935A7" w:rsidRDefault="002E3D4A" w:rsidP="002E3D4A">
            <w:r w:rsidRPr="00EA26C8">
              <w:rPr>
                <w:rFonts w:cs="Arial"/>
                <w:b w:val="0"/>
                <w:sz w:val="20"/>
                <w:szCs w:val="20"/>
              </w:rPr>
              <w:t xml:space="preserve">Also consider the evidence is insufficient to substantiate general level helath claims and nutrition content claims on FSFYC irrespective of permissions for health claims. </w:t>
            </w:r>
          </w:p>
        </w:tc>
        <w:tc>
          <w:tcPr>
            <w:tcW w:w="2108" w:type="dxa"/>
            <w:tcBorders>
              <w:left w:val="single" w:sz="4" w:space="0" w:color="auto"/>
              <w:right w:val="single" w:sz="4" w:space="0" w:color="auto"/>
            </w:tcBorders>
          </w:tcPr>
          <w:p w14:paraId="5DF3B2CD" w14:textId="4B8F74E4" w:rsidR="002E3D4A" w:rsidRPr="00562618" w:rsidRDefault="002E3D4A" w:rsidP="002E3D4A">
            <w:pPr>
              <w:spacing w:before="6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QLD Health</w:t>
            </w:r>
          </w:p>
        </w:tc>
        <w:tc>
          <w:tcPr>
            <w:tcW w:w="6378" w:type="dxa"/>
            <w:tcBorders>
              <w:left w:val="single" w:sz="4" w:space="0" w:color="auto"/>
            </w:tcBorders>
          </w:tcPr>
          <w:p w14:paraId="5CA44E7A" w14:textId="2A3D1DB2" w:rsidR="002E3D4A" w:rsidRDefault="002E3D4A" w:rsidP="002E3D4A">
            <w:pPr>
              <w:cnfStyle w:val="000000010000" w:firstRow="0" w:lastRow="0" w:firstColumn="0" w:lastColumn="0" w:oddVBand="0" w:evenVBand="0" w:oddHBand="0" w:evenHBand="1" w:firstRowFirstColumn="0" w:firstRowLastColumn="0" w:lastRowFirstColumn="0" w:lastRowLastColumn="0"/>
              <w:rPr>
                <w:rFonts w:cs="Arial"/>
                <w:sz w:val="20"/>
                <w:szCs w:val="20"/>
              </w:rPr>
            </w:pPr>
            <w:r>
              <w:rPr>
                <w:sz w:val="20"/>
                <w:lang w:val="en-AU" w:bidi="ar-SA"/>
              </w:rPr>
              <w:t xml:space="preserve">FSANZ notes the views of QLD Health about </w:t>
            </w:r>
            <w:r w:rsidRPr="00127728">
              <w:rPr>
                <w:b/>
                <w:i/>
                <w:sz w:val="20"/>
                <w:lang w:val="en-AU" w:bidi="ar-SA"/>
              </w:rPr>
              <w:t>compliance</w:t>
            </w:r>
            <w:r>
              <w:rPr>
                <w:sz w:val="20"/>
                <w:lang w:val="en-AU" w:bidi="ar-SA"/>
              </w:rPr>
              <w:t xml:space="preserve"> with the policy guideline. As discussed in section 2.5.2 and 2.5.3 in this report, the FSANZ Act outlines three objectives for the Authority in developing food regulatory measures. The Act also outlines other matters to which the Authority must have regard. In the assessment </w:t>
            </w:r>
            <w:r w:rsidRPr="0028733D">
              <w:rPr>
                <w:rFonts w:cs="Arial"/>
                <w:sz w:val="20"/>
                <w:szCs w:val="20"/>
              </w:rPr>
              <w:t xml:space="preserve">FSANZ has </w:t>
            </w:r>
            <w:r w:rsidRPr="0014111C">
              <w:rPr>
                <w:rFonts w:cs="Arial"/>
                <w:b/>
                <w:i/>
                <w:sz w:val="20"/>
                <w:szCs w:val="20"/>
              </w:rPr>
              <w:t>had regard</w:t>
            </w:r>
            <w:r>
              <w:rPr>
                <w:rFonts w:cs="Arial"/>
                <w:sz w:val="20"/>
                <w:szCs w:val="20"/>
              </w:rPr>
              <w:t xml:space="preserve"> (i</w:t>
            </w:r>
            <w:r w:rsidR="00A0150C">
              <w:rPr>
                <w:rFonts w:cs="Arial"/>
                <w:sz w:val="20"/>
                <w:szCs w:val="20"/>
              </w:rPr>
              <w:t>.</w:t>
            </w:r>
            <w:r>
              <w:rPr>
                <w:rFonts w:cs="Arial"/>
                <w:sz w:val="20"/>
                <w:szCs w:val="20"/>
              </w:rPr>
              <w:t>e</w:t>
            </w:r>
            <w:r w:rsidR="00A0150C">
              <w:rPr>
                <w:rFonts w:cs="Arial"/>
                <w:sz w:val="20"/>
                <w:szCs w:val="20"/>
              </w:rPr>
              <w:t>.</w:t>
            </w:r>
            <w:r>
              <w:rPr>
                <w:rFonts w:cs="Arial"/>
                <w:sz w:val="20"/>
                <w:szCs w:val="20"/>
              </w:rPr>
              <w:t xml:space="preserve"> given genuine consideration) to the relevant policy g</w:t>
            </w:r>
            <w:r w:rsidRPr="0028733D">
              <w:rPr>
                <w:rFonts w:cs="Arial"/>
                <w:sz w:val="20"/>
                <w:szCs w:val="20"/>
              </w:rPr>
              <w:t>uideline</w:t>
            </w:r>
            <w:r>
              <w:rPr>
                <w:rFonts w:cs="Arial"/>
                <w:sz w:val="20"/>
                <w:szCs w:val="20"/>
              </w:rPr>
              <w:t>s</w:t>
            </w:r>
            <w:r w:rsidRPr="0028733D">
              <w:rPr>
                <w:rFonts w:cs="Arial"/>
                <w:sz w:val="20"/>
                <w:szCs w:val="20"/>
              </w:rPr>
              <w:t xml:space="preserve"> in accordance with subsection 18(2) of the Act, as well as best available </w:t>
            </w:r>
            <w:r>
              <w:rPr>
                <w:rFonts w:cs="Arial"/>
                <w:sz w:val="20"/>
                <w:szCs w:val="20"/>
              </w:rPr>
              <w:t>evidence</w:t>
            </w:r>
            <w:r w:rsidRPr="0028733D">
              <w:rPr>
                <w:rFonts w:cs="Arial"/>
                <w:sz w:val="20"/>
                <w:szCs w:val="20"/>
              </w:rPr>
              <w:t xml:space="preserve">, </w:t>
            </w:r>
            <w:r>
              <w:rPr>
                <w:rFonts w:cs="Arial"/>
                <w:sz w:val="20"/>
                <w:szCs w:val="20"/>
              </w:rPr>
              <w:t xml:space="preserve">international consistency </w:t>
            </w:r>
            <w:r w:rsidRPr="0028733D">
              <w:rPr>
                <w:rFonts w:cs="Arial"/>
                <w:sz w:val="20"/>
                <w:szCs w:val="20"/>
              </w:rPr>
              <w:t xml:space="preserve">and </w:t>
            </w:r>
            <w:r>
              <w:rPr>
                <w:rFonts w:cs="Arial"/>
                <w:sz w:val="20"/>
                <w:szCs w:val="20"/>
              </w:rPr>
              <w:t xml:space="preserve">industry trade </w:t>
            </w:r>
            <w:r w:rsidRPr="0085363A">
              <w:rPr>
                <w:rFonts w:cs="Arial"/>
                <w:sz w:val="20"/>
                <w:szCs w:val="20"/>
              </w:rPr>
              <w:t>and competition.</w:t>
            </w:r>
          </w:p>
          <w:p w14:paraId="2585E2B6" w14:textId="77777777" w:rsidR="002E3D4A" w:rsidDel="003B3A65" w:rsidRDefault="002E3D4A" w:rsidP="002E3D4A">
            <w:pPr>
              <w:cnfStyle w:val="000000010000" w:firstRow="0" w:lastRow="0" w:firstColumn="0" w:lastColumn="0" w:oddVBand="0" w:evenVBand="0" w:oddHBand="0" w:evenHBand="1" w:firstRowFirstColumn="0" w:firstRowLastColumn="0" w:lastRowFirstColumn="0" w:lastRowLastColumn="0"/>
              <w:rPr>
                <w:sz w:val="20"/>
                <w:lang w:val="en-AU" w:bidi="ar-SA"/>
              </w:rPr>
            </w:pPr>
            <w:r>
              <w:rPr>
                <w:sz w:val="20"/>
                <w:lang w:val="en-AU" w:bidi="ar-SA"/>
              </w:rPr>
              <w:t xml:space="preserve"> </w:t>
            </w:r>
          </w:p>
          <w:p w14:paraId="2A194591" w14:textId="7B320426" w:rsidR="00B94E1C" w:rsidRPr="00B94E1C" w:rsidRDefault="002E3D4A" w:rsidP="00B94E1C">
            <w:pPr>
              <w:cnfStyle w:val="000000010000" w:firstRow="0" w:lastRow="0" w:firstColumn="0" w:lastColumn="0" w:oddVBand="0" w:evenVBand="0" w:oddHBand="0" w:evenHBand="1" w:firstRowFirstColumn="0" w:firstRowLastColumn="0" w:lastRowFirstColumn="0" w:lastRowLastColumn="0"/>
              <w:rPr>
                <w:sz w:val="20"/>
              </w:rPr>
            </w:pPr>
            <w:r w:rsidRPr="003B3A65">
              <w:rPr>
                <w:sz w:val="20"/>
              </w:rPr>
              <w:t xml:space="preserve">The </w:t>
            </w:r>
            <w:r>
              <w:rPr>
                <w:sz w:val="20"/>
              </w:rPr>
              <w:t xml:space="preserve">assessment was not undertaken for the purpose of assessing </w:t>
            </w:r>
            <w:r w:rsidRPr="003B3A65">
              <w:rPr>
                <w:sz w:val="20"/>
              </w:rPr>
              <w:t xml:space="preserve">a food-health relationship for either a general level health or a high level health claim. </w:t>
            </w:r>
            <w:r>
              <w:rPr>
                <w:sz w:val="20"/>
              </w:rPr>
              <w:t xml:space="preserve">On this basis FSANZ considers that this assessment </w:t>
            </w:r>
            <w:r w:rsidR="00B94E1C" w:rsidRPr="00B94E1C">
              <w:rPr>
                <w:sz w:val="20"/>
              </w:rPr>
              <w:t xml:space="preserve">could not be used as the basis of a health claim, since asessment of any health claim, including claims of a preventive nature, was not part of FSANZ’s consideration of this application. </w:t>
            </w:r>
          </w:p>
          <w:p w14:paraId="49BD187F" w14:textId="4104B46C" w:rsidR="002E3D4A" w:rsidRPr="003B3A65" w:rsidRDefault="002E3D4A" w:rsidP="002E3D4A">
            <w:pPr>
              <w:cnfStyle w:val="000000010000" w:firstRow="0" w:lastRow="0" w:firstColumn="0" w:lastColumn="0" w:oddVBand="0" w:evenVBand="0" w:oddHBand="0" w:evenHBand="1" w:firstRowFirstColumn="0" w:firstRowLastColumn="0" w:lastRowFirstColumn="0" w:lastRowLastColumn="0"/>
              <w:rPr>
                <w:sz w:val="20"/>
              </w:rPr>
            </w:pPr>
          </w:p>
          <w:p w14:paraId="7661909B" w14:textId="5BA73996" w:rsidR="002E3D4A" w:rsidRPr="003B3A65" w:rsidRDefault="002E3D4A" w:rsidP="002E3D4A">
            <w:pPr>
              <w:cnfStyle w:val="000000010000" w:firstRow="0" w:lastRow="0" w:firstColumn="0" w:lastColumn="0" w:oddVBand="0" w:evenVBand="0" w:oddHBand="0" w:evenHBand="1" w:firstRowFirstColumn="0" w:firstRowLastColumn="0" w:lastRowFirstColumn="0" w:lastRowLastColumn="0"/>
              <w:rPr>
                <w:sz w:val="20"/>
              </w:rPr>
            </w:pPr>
            <w:r w:rsidRPr="003B3A65">
              <w:rPr>
                <w:sz w:val="20"/>
              </w:rPr>
              <w:t xml:space="preserve">In relation to FSFYC, the existing prohibition </w:t>
            </w:r>
            <w:r>
              <w:rPr>
                <w:sz w:val="20"/>
              </w:rPr>
              <w:t>on</w:t>
            </w:r>
            <w:r w:rsidRPr="003B3A65">
              <w:rPr>
                <w:sz w:val="20"/>
              </w:rPr>
              <w:t xml:space="preserve"> therapeutic claims and provisions for high level health claims (including preapproval) will apply.  </w:t>
            </w:r>
          </w:p>
          <w:p w14:paraId="691F44C7" w14:textId="3816DC26" w:rsidR="002E3D4A" w:rsidRPr="006F2433" w:rsidRDefault="002E3D4A" w:rsidP="002E3D4A">
            <w:pPr>
              <w:widowControl/>
              <w:spacing w:before="60"/>
              <w:cnfStyle w:val="000000010000" w:firstRow="0" w:lastRow="0" w:firstColumn="0" w:lastColumn="0" w:oddVBand="0" w:evenVBand="0" w:oddHBand="0" w:evenHBand="1" w:firstRowFirstColumn="0" w:firstRowLastColumn="0" w:lastRowFirstColumn="0" w:lastRowLastColumn="0"/>
              <w:rPr>
                <w:sz w:val="20"/>
                <w:lang w:val="en-AU" w:bidi="ar-SA"/>
              </w:rPr>
            </w:pPr>
          </w:p>
        </w:tc>
      </w:tr>
      <w:tr w:rsidR="002E3D4A" w14:paraId="4356EB02" w14:textId="77777777" w:rsidTr="000D4A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67942CB2" w14:textId="3888D6E8" w:rsidR="002E3D4A" w:rsidRPr="00D935A7" w:rsidRDefault="002E3D4A" w:rsidP="002E3D4A">
            <w:pPr>
              <w:spacing w:before="60"/>
              <w:rPr>
                <w:rFonts w:cs="Arial"/>
                <w:b w:val="0"/>
                <w:sz w:val="20"/>
                <w:szCs w:val="20"/>
              </w:rPr>
            </w:pPr>
            <w:r w:rsidRPr="000A492A">
              <w:rPr>
                <w:b w:val="0"/>
                <w:sz w:val="20"/>
              </w:rPr>
              <w:t>Supports</w:t>
            </w:r>
            <w:r>
              <w:rPr>
                <w:b w:val="0"/>
                <w:sz w:val="20"/>
              </w:rPr>
              <w:t xml:space="preserve"> approval and the approach to</w:t>
            </w:r>
            <w:r w:rsidRPr="000A492A">
              <w:rPr>
                <w:b w:val="0"/>
                <w:sz w:val="20"/>
              </w:rPr>
              <w:t xml:space="preserve"> not specify a minimum amount </w:t>
            </w:r>
            <w:r>
              <w:rPr>
                <w:b w:val="0"/>
                <w:sz w:val="20"/>
              </w:rPr>
              <w:t xml:space="preserve">on the basis that </w:t>
            </w:r>
            <w:r w:rsidRPr="000A492A">
              <w:rPr>
                <w:b w:val="0"/>
                <w:sz w:val="20"/>
              </w:rPr>
              <w:t>minimum</w:t>
            </w:r>
            <w:r>
              <w:rPr>
                <w:b w:val="0"/>
                <w:sz w:val="20"/>
              </w:rPr>
              <w:t xml:space="preserve"> level</w:t>
            </w:r>
            <w:r w:rsidRPr="000A492A">
              <w:rPr>
                <w:b w:val="0"/>
                <w:sz w:val="20"/>
              </w:rPr>
              <w:t>s should only be specified for mandatory substances</w:t>
            </w:r>
            <w:r>
              <w:rPr>
                <w:b w:val="0"/>
                <w:sz w:val="20"/>
              </w:rPr>
              <w:t>; also consistent with international permissions.</w:t>
            </w:r>
          </w:p>
        </w:tc>
        <w:tc>
          <w:tcPr>
            <w:tcW w:w="2108" w:type="dxa"/>
            <w:tcBorders>
              <w:left w:val="single" w:sz="4" w:space="0" w:color="auto"/>
              <w:right w:val="single" w:sz="4" w:space="0" w:color="auto"/>
            </w:tcBorders>
          </w:tcPr>
          <w:p w14:paraId="3A838EF1" w14:textId="22444C00" w:rsidR="002E3D4A" w:rsidRPr="00562618" w:rsidRDefault="002E3D4A" w:rsidP="002E3D4A">
            <w:pPr>
              <w:spacing w:before="6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Nestle </w:t>
            </w:r>
          </w:p>
        </w:tc>
        <w:tc>
          <w:tcPr>
            <w:tcW w:w="6378" w:type="dxa"/>
            <w:tcBorders>
              <w:left w:val="single" w:sz="4" w:space="0" w:color="auto"/>
            </w:tcBorders>
          </w:tcPr>
          <w:p w14:paraId="1BEC8B3A" w14:textId="77777777" w:rsidR="002E3D4A" w:rsidRDefault="002E3D4A" w:rsidP="002E3D4A">
            <w:pPr>
              <w:pStyle w:val="FSTableText"/>
              <w:spacing w:before="60"/>
              <w:cnfStyle w:val="000000100000" w:firstRow="0" w:lastRow="0" w:firstColumn="0" w:lastColumn="0" w:oddVBand="0" w:evenVBand="0" w:oddHBand="1" w:evenHBand="0" w:firstRowFirstColumn="0" w:firstRowLastColumn="0" w:lastRowFirstColumn="0" w:lastRowLastColumn="0"/>
            </w:pPr>
            <w:r>
              <w:t xml:space="preserve">Noted. </w:t>
            </w:r>
          </w:p>
          <w:p w14:paraId="640F8B11" w14:textId="3EC90036" w:rsidR="002E3D4A" w:rsidRDefault="002E3D4A" w:rsidP="002E3D4A">
            <w:pPr>
              <w:pStyle w:val="FSTableText"/>
              <w:spacing w:before="60"/>
              <w:cnfStyle w:val="000000100000" w:firstRow="0" w:lastRow="0" w:firstColumn="0" w:lastColumn="0" w:oddVBand="0" w:evenVBand="0" w:oddHBand="1" w:evenHBand="0" w:firstRowFirstColumn="0" w:firstRowLastColumn="0" w:lastRowFirstColumn="0" w:lastRowLastColumn="0"/>
            </w:pPr>
          </w:p>
        </w:tc>
      </w:tr>
      <w:tr w:rsidR="002E3D4A" w14:paraId="4F4585D6" w14:textId="77777777" w:rsidTr="000D4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250093F8" w14:textId="49702D1C" w:rsidR="002E3D4A" w:rsidRPr="000A492A" w:rsidRDefault="002E3D4A" w:rsidP="002E3D4A">
            <w:pPr>
              <w:spacing w:before="60"/>
              <w:rPr>
                <w:b w:val="0"/>
                <w:sz w:val="20"/>
              </w:rPr>
            </w:pPr>
            <w:r>
              <w:rPr>
                <w:b w:val="0"/>
                <w:sz w:val="20"/>
              </w:rPr>
              <w:t xml:space="preserve">Minimum permitted amounts – other substances are required to have a minimum quantity of the active ingredient. </w:t>
            </w:r>
          </w:p>
        </w:tc>
        <w:tc>
          <w:tcPr>
            <w:tcW w:w="2108" w:type="dxa"/>
            <w:tcBorders>
              <w:left w:val="single" w:sz="4" w:space="0" w:color="auto"/>
              <w:right w:val="single" w:sz="4" w:space="0" w:color="auto"/>
            </w:tcBorders>
          </w:tcPr>
          <w:p w14:paraId="2239653E" w14:textId="5C8757B3" w:rsidR="002E3D4A" w:rsidRDefault="002E3D4A" w:rsidP="002E3D4A">
            <w:pPr>
              <w:spacing w:before="6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NSWFA </w:t>
            </w:r>
          </w:p>
        </w:tc>
        <w:tc>
          <w:tcPr>
            <w:tcW w:w="6378" w:type="dxa"/>
            <w:tcBorders>
              <w:left w:val="single" w:sz="4" w:space="0" w:color="auto"/>
            </w:tcBorders>
          </w:tcPr>
          <w:p w14:paraId="556E2BFF" w14:textId="77777777" w:rsidR="002E3D4A" w:rsidRDefault="002E3D4A" w:rsidP="002E3D4A">
            <w:pPr>
              <w:spacing w:before="60"/>
              <w:cnfStyle w:val="000000010000" w:firstRow="0" w:lastRow="0" w:firstColumn="0" w:lastColumn="0" w:oddVBand="0" w:evenVBand="0" w:oddHBand="0" w:evenHBand="1" w:firstRowFirstColumn="0" w:firstRowLastColumn="0" w:lastRowFirstColumn="0" w:lastRowLastColumn="0"/>
              <w:rPr>
                <w:sz w:val="20"/>
                <w:szCs w:val="20"/>
              </w:rPr>
            </w:pPr>
            <w:r w:rsidRPr="00EB5F4F">
              <w:rPr>
                <w:sz w:val="20"/>
                <w:szCs w:val="20"/>
              </w:rPr>
              <w:t>A minimum permitted amount was not requested in the application and has not been determined by FSANZ.</w:t>
            </w:r>
            <w:r>
              <w:rPr>
                <w:sz w:val="20"/>
                <w:szCs w:val="20"/>
              </w:rPr>
              <w:t xml:space="preserve"> </w:t>
            </w:r>
          </w:p>
          <w:p w14:paraId="0EEDAE54" w14:textId="3831651D" w:rsidR="002E3D4A" w:rsidRDefault="002E3D4A" w:rsidP="002E3D4A">
            <w:pPr>
              <w:pStyle w:val="FSTableText"/>
              <w:spacing w:before="60"/>
              <w:cnfStyle w:val="000000010000" w:firstRow="0" w:lastRow="0" w:firstColumn="0" w:lastColumn="0" w:oddVBand="0" w:evenVBand="0" w:oddHBand="0" w:evenHBand="1" w:firstRowFirstColumn="0" w:firstRowLastColumn="0" w:lastRowFirstColumn="0" w:lastRowLastColumn="0"/>
            </w:pPr>
            <w:r>
              <w:t xml:space="preserve">As noted in the </w:t>
            </w:r>
            <w:r w:rsidRPr="00B3515B">
              <w:t>safe</w:t>
            </w:r>
            <w:r>
              <w:t>ty, technical and health effect assessment the naturally occurring human milk oligosaccharide concentrations vary in lactating women. In addition, i</w:t>
            </w:r>
            <w:r w:rsidRPr="00EB5F4F">
              <w:t xml:space="preserve">ngredients which </w:t>
            </w:r>
            <w:r>
              <w:t xml:space="preserve">are intended to </w:t>
            </w:r>
            <w:r w:rsidRPr="00EB5F4F">
              <w:t xml:space="preserve">modulate gut microflora </w:t>
            </w:r>
            <w:r>
              <w:t>may result in variable outcomes in</w:t>
            </w:r>
            <w:r w:rsidRPr="00EB5F4F">
              <w:t xml:space="preserve"> individual</w:t>
            </w:r>
            <w:r>
              <w:t>s</w:t>
            </w:r>
            <w:r w:rsidRPr="00EB5F4F">
              <w:t xml:space="preserve"> due to the unique microbial ecology of individuals and a variety of host and environmental factors. For these reasons setting a minimum effective ‘dose’ isn’t an appropriate approach. This is consistent with the permissions overseas. </w:t>
            </w:r>
          </w:p>
        </w:tc>
      </w:tr>
      <w:tr w:rsidR="002E3D4A" w14:paraId="340C9F7A" w14:textId="77777777" w:rsidTr="000D4A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08" w:type="dxa"/>
            <w:gridSpan w:val="3"/>
          </w:tcPr>
          <w:p w14:paraId="6D88CC25" w14:textId="3EC21E72" w:rsidR="002E3D4A" w:rsidRPr="00562618" w:rsidRDefault="002E3D4A" w:rsidP="002E3D4A">
            <w:pPr>
              <w:keepNext/>
              <w:keepLines/>
              <w:widowControl/>
              <w:rPr>
                <w:rFonts w:cs="Arial"/>
                <w:sz w:val="20"/>
                <w:szCs w:val="20"/>
              </w:rPr>
            </w:pPr>
            <w:r w:rsidRPr="00562618">
              <w:rPr>
                <w:rFonts w:cs="Arial"/>
                <w:szCs w:val="20"/>
              </w:rPr>
              <w:t xml:space="preserve">Addition to FSFYC </w:t>
            </w:r>
          </w:p>
        </w:tc>
      </w:tr>
      <w:tr w:rsidR="002E3D4A" w14:paraId="16E2F4E6" w14:textId="77777777" w:rsidTr="000D4A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190E5E16" w14:textId="695DE316" w:rsidR="002E3D4A" w:rsidRDefault="002E3D4A" w:rsidP="002E3D4A">
            <w:pPr>
              <w:keepNext/>
              <w:keepLines/>
              <w:rPr>
                <w:rFonts w:cs="Arial"/>
                <w:b w:val="0"/>
                <w:sz w:val="20"/>
                <w:szCs w:val="20"/>
              </w:rPr>
            </w:pPr>
            <w:r w:rsidRPr="00F55329">
              <w:rPr>
                <w:rFonts w:cs="Arial"/>
                <w:b w:val="0"/>
                <w:sz w:val="20"/>
                <w:szCs w:val="20"/>
              </w:rPr>
              <w:t xml:space="preserve">Do not support the addition to FSFYC </w:t>
            </w:r>
          </w:p>
          <w:p w14:paraId="48D7EE8A" w14:textId="77777777" w:rsidR="002E3D4A" w:rsidRDefault="002E3D4A" w:rsidP="002E3D4A">
            <w:pPr>
              <w:keepNext/>
              <w:keepLines/>
              <w:rPr>
                <w:rFonts w:cs="Arial"/>
                <w:b w:val="0"/>
                <w:sz w:val="20"/>
                <w:szCs w:val="20"/>
              </w:rPr>
            </w:pPr>
          </w:p>
          <w:p w14:paraId="564DDC56" w14:textId="4A27EBF6" w:rsidR="002E3D4A" w:rsidRPr="00DF4CE3" w:rsidRDefault="002E3D4A" w:rsidP="002E3D4A">
            <w:pPr>
              <w:pStyle w:val="ListParagraph"/>
              <w:keepNext/>
              <w:keepLines/>
              <w:widowControl/>
              <w:numPr>
                <w:ilvl w:val="0"/>
                <w:numId w:val="14"/>
              </w:numPr>
              <w:rPr>
                <w:rFonts w:cs="Arial"/>
                <w:b w:val="0"/>
                <w:sz w:val="20"/>
              </w:rPr>
            </w:pPr>
            <w:r w:rsidRPr="00DF4CE3">
              <w:rPr>
                <w:rFonts w:cs="Arial"/>
                <w:b w:val="0"/>
                <w:sz w:val="20"/>
              </w:rPr>
              <w:t>is not consistent with the Ministerial Policy Guideline on the Intent of Part 2.9 – Special Purpose Foods regarding the ‘intended purpose’ of this food category.</w:t>
            </w:r>
          </w:p>
          <w:p w14:paraId="040AB41A" w14:textId="77777777" w:rsidR="002E3D4A" w:rsidRPr="00673269" w:rsidRDefault="002E3D4A" w:rsidP="002E3D4A">
            <w:pPr>
              <w:pStyle w:val="ListParagraph"/>
              <w:keepNext/>
              <w:keepLines/>
              <w:widowControl/>
              <w:numPr>
                <w:ilvl w:val="0"/>
                <w:numId w:val="14"/>
              </w:numPr>
              <w:rPr>
                <w:b w:val="0"/>
                <w:sz w:val="20"/>
              </w:rPr>
            </w:pPr>
            <w:r w:rsidRPr="00673269">
              <w:rPr>
                <w:rFonts w:cs="Arial"/>
                <w:b w:val="0"/>
                <w:sz w:val="20"/>
              </w:rPr>
              <w:t xml:space="preserve">does not consider current information sufficient to adequately define the nutritional benefit provided by these substances to toddlers. </w:t>
            </w:r>
          </w:p>
          <w:p w14:paraId="29ABE94B" w14:textId="0A142A32" w:rsidR="002E3D4A" w:rsidRPr="00673269" w:rsidRDefault="002E3D4A" w:rsidP="002E3D4A">
            <w:pPr>
              <w:pStyle w:val="ListParagraph"/>
              <w:keepNext/>
              <w:keepLines/>
              <w:widowControl/>
              <w:numPr>
                <w:ilvl w:val="0"/>
                <w:numId w:val="14"/>
              </w:numPr>
              <w:rPr>
                <w:b w:val="0"/>
                <w:sz w:val="20"/>
              </w:rPr>
            </w:pPr>
            <w:r w:rsidRPr="00673269">
              <w:rPr>
                <w:rFonts w:cs="Arial"/>
                <w:b w:val="0"/>
                <w:sz w:val="20"/>
              </w:rPr>
              <w:t>FSFYC are designed to supplement children’s (age 1</w:t>
            </w:r>
            <w:r>
              <w:rPr>
                <w:rFonts w:cs="Arial"/>
                <w:b w:val="0"/>
                <w:sz w:val="20"/>
              </w:rPr>
              <w:t xml:space="preserve"> – </w:t>
            </w:r>
            <w:r w:rsidRPr="00673269">
              <w:rPr>
                <w:rFonts w:cs="Arial"/>
                <w:b w:val="0"/>
                <w:sz w:val="20"/>
              </w:rPr>
              <w:t xml:space="preserve">3 </w:t>
            </w:r>
            <w:r>
              <w:rPr>
                <w:rFonts w:cs="Arial"/>
                <w:b w:val="0"/>
                <w:sz w:val="20"/>
              </w:rPr>
              <w:t>years</w:t>
            </w:r>
            <w:r w:rsidRPr="00673269">
              <w:rPr>
                <w:rFonts w:cs="Arial"/>
                <w:b w:val="0"/>
                <w:sz w:val="20"/>
              </w:rPr>
              <w:t>) diet that are inadequate in energy and nutrients.</w:t>
            </w:r>
          </w:p>
          <w:p w14:paraId="42829CB9" w14:textId="698536D0" w:rsidR="002E3D4A" w:rsidRPr="00F55329" w:rsidRDefault="002E3D4A" w:rsidP="002E3D4A">
            <w:pPr>
              <w:pStyle w:val="ListParagraph"/>
              <w:keepNext/>
              <w:keepLines/>
              <w:ind w:left="420"/>
              <w:rPr>
                <w:rFonts w:cs="Arial"/>
                <w:sz w:val="20"/>
                <w:szCs w:val="20"/>
              </w:rPr>
            </w:pPr>
          </w:p>
        </w:tc>
        <w:tc>
          <w:tcPr>
            <w:tcW w:w="2108" w:type="dxa"/>
            <w:tcBorders>
              <w:left w:val="single" w:sz="4" w:space="0" w:color="auto"/>
              <w:right w:val="single" w:sz="4" w:space="0" w:color="auto"/>
            </w:tcBorders>
          </w:tcPr>
          <w:p w14:paraId="27C34A49" w14:textId="5FDE89C9" w:rsidR="002E3D4A" w:rsidRPr="00562618" w:rsidRDefault="002E3D4A" w:rsidP="002E3D4A">
            <w:pPr>
              <w:keepNext/>
              <w:keepLines/>
              <w:cnfStyle w:val="000000010000" w:firstRow="0" w:lastRow="0" w:firstColumn="0" w:lastColumn="0" w:oddVBand="0" w:evenVBand="0" w:oddHBand="0" w:evenHBand="1" w:firstRowFirstColumn="0" w:firstRowLastColumn="0" w:lastRowFirstColumn="0" w:lastRowLastColumn="0"/>
              <w:rPr>
                <w:rFonts w:cs="Arial"/>
                <w:sz w:val="20"/>
                <w:szCs w:val="20"/>
              </w:rPr>
            </w:pPr>
            <w:r w:rsidRPr="00562618">
              <w:rPr>
                <w:rFonts w:cs="Arial"/>
                <w:sz w:val="20"/>
                <w:szCs w:val="20"/>
              </w:rPr>
              <w:t>SA Health, NSW</w:t>
            </w:r>
            <w:r>
              <w:rPr>
                <w:rFonts w:cs="Arial"/>
                <w:sz w:val="20"/>
                <w:szCs w:val="20"/>
              </w:rPr>
              <w:t xml:space="preserve">FA, WA DoH, Vic Govt </w:t>
            </w:r>
            <w:r w:rsidRPr="00562618">
              <w:rPr>
                <w:rFonts w:cs="Arial"/>
                <w:sz w:val="20"/>
                <w:szCs w:val="20"/>
              </w:rPr>
              <w:t xml:space="preserve"> </w:t>
            </w:r>
          </w:p>
        </w:tc>
        <w:tc>
          <w:tcPr>
            <w:tcW w:w="6378" w:type="dxa"/>
            <w:tcBorders>
              <w:left w:val="single" w:sz="4" w:space="0" w:color="auto"/>
            </w:tcBorders>
          </w:tcPr>
          <w:p w14:paraId="397B3753" w14:textId="52B82464" w:rsidR="002E3D4A" w:rsidRDefault="002E3D4A" w:rsidP="002E3D4A">
            <w:pPr>
              <w:keepNext/>
              <w:keepLines/>
              <w:cnfStyle w:val="000000010000" w:firstRow="0" w:lastRow="0" w:firstColumn="0" w:lastColumn="0" w:oddVBand="0" w:evenVBand="0" w:oddHBand="0" w:evenHBand="1" w:firstRowFirstColumn="0" w:firstRowLastColumn="0" w:lastRowFirstColumn="0" w:lastRowLastColumn="0"/>
              <w:rPr>
                <w:rFonts w:cs="Arial"/>
                <w:sz w:val="20"/>
                <w:szCs w:val="20"/>
              </w:rPr>
            </w:pPr>
            <w:r w:rsidRPr="0028733D">
              <w:rPr>
                <w:rFonts w:cs="Arial"/>
                <w:sz w:val="20"/>
                <w:szCs w:val="20"/>
              </w:rPr>
              <w:t xml:space="preserve">In assessing the </w:t>
            </w:r>
            <w:r>
              <w:rPr>
                <w:rFonts w:cs="Arial"/>
                <w:sz w:val="20"/>
                <w:szCs w:val="20"/>
              </w:rPr>
              <w:t xml:space="preserve">proposed </w:t>
            </w:r>
            <w:r w:rsidRPr="0028733D">
              <w:rPr>
                <w:rFonts w:cs="Arial"/>
                <w:sz w:val="20"/>
                <w:szCs w:val="20"/>
              </w:rPr>
              <w:t xml:space="preserve">addition of </w:t>
            </w:r>
            <w:r>
              <w:rPr>
                <w:rFonts w:cs="Arial"/>
                <w:sz w:val="20"/>
                <w:szCs w:val="20"/>
              </w:rPr>
              <w:t>2′</w:t>
            </w:r>
            <w:r w:rsidRPr="0028733D">
              <w:rPr>
                <w:rFonts w:cs="Arial"/>
                <w:sz w:val="20"/>
                <w:szCs w:val="20"/>
              </w:rPr>
              <w:t xml:space="preserve">-FL and LNnT to FSFYC, FSANZ’s first order priority was to ensure there are no public health and safety risks in accordance with subsection 18(1) of the FSANZ Act. FSANZ has also </w:t>
            </w:r>
            <w:r w:rsidRPr="00523E07">
              <w:rPr>
                <w:rFonts w:cs="Arial"/>
                <w:i/>
                <w:sz w:val="20"/>
                <w:szCs w:val="20"/>
              </w:rPr>
              <w:t>had regard</w:t>
            </w:r>
            <w:r>
              <w:rPr>
                <w:rFonts w:cs="Arial"/>
                <w:sz w:val="20"/>
                <w:szCs w:val="20"/>
              </w:rPr>
              <w:t xml:space="preserve"> to the relevant policy g</w:t>
            </w:r>
            <w:r w:rsidRPr="0028733D">
              <w:rPr>
                <w:rFonts w:cs="Arial"/>
                <w:sz w:val="20"/>
                <w:szCs w:val="20"/>
              </w:rPr>
              <w:t xml:space="preserve">uideline in accordance with subsection 18(2) of the Act, as well as best available science, </w:t>
            </w:r>
            <w:r>
              <w:rPr>
                <w:rFonts w:cs="Arial"/>
                <w:sz w:val="20"/>
                <w:szCs w:val="20"/>
              </w:rPr>
              <w:t xml:space="preserve">international consistency </w:t>
            </w:r>
            <w:r w:rsidRPr="0028733D">
              <w:rPr>
                <w:rFonts w:cs="Arial"/>
                <w:sz w:val="20"/>
                <w:szCs w:val="20"/>
              </w:rPr>
              <w:t xml:space="preserve">and </w:t>
            </w:r>
            <w:r>
              <w:rPr>
                <w:rFonts w:cs="Arial"/>
                <w:sz w:val="20"/>
                <w:szCs w:val="20"/>
              </w:rPr>
              <w:t>industry trade and competition.</w:t>
            </w:r>
          </w:p>
          <w:p w14:paraId="7D5904FD" w14:textId="77777777" w:rsidR="002E3D4A" w:rsidRPr="0028733D" w:rsidRDefault="002E3D4A" w:rsidP="002E3D4A">
            <w:pPr>
              <w:keepNext/>
              <w:keepLines/>
              <w:cnfStyle w:val="000000010000" w:firstRow="0" w:lastRow="0" w:firstColumn="0" w:lastColumn="0" w:oddVBand="0" w:evenVBand="0" w:oddHBand="0" w:evenHBand="1" w:firstRowFirstColumn="0" w:firstRowLastColumn="0" w:lastRowFirstColumn="0" w:lastRowLastColumn="0"/>
              <w:rPr>
                <w:rFonts w:cs="Arial"/>
                <w:sz w:val="20"/>
                <w:szCs w:val="20"/>
              </w:rPr>
            </w:pPr>
          </w:p>
          <w:p w14:paraId="032D5E08" w14:textId="4C576207" w:rsidR="002E3D4A" w:rsidRDefault="002E3D4A" w:rsidP="002E3D4A">
            <w:pPr>
              <w:keepNext/>
              <w:keepLines/>
              <w:cnfStyle w:val="000000010000" w:firstRow="0" w:lastRow="0" w:firstColumn="0" w:lastColumn="0" w:oddVBand="0" w:evenVBand="0" w:oddHBand="0" w:evenHBand="1" w:firstRowFirstColumn="0" w:firstRowLastColumn="0" w:lastRowFirstColumn="0" w:lastRowLastColumn="0"/>
              <w:rPr>
                <w:rFonts w:cs="Arial"/>
                <w:sz w:val="20"/>
                <w:szCs w:val="20"/>
              </w:rPr>
            </w:pPr>
            <w:r>
              <w:rPr>
                <w:sz w:val="20"/>
                <w:szCs w:val="20"/>
              </w:rPr>
              <w:t xml:space="preserve">The voluntary </w:t>
            </w:r>
            <w:r w:rsidRPr="00113A1C">
              <w:rPr>
                <w:sz w:val="20"/>
                <w:szCs w:val="20"/>
              </w:rPr>
              <w:t>addition</w:t>
            </w:r>
            <w:r>
              <w:rPr>
                <w:sz w:val="20"/>
                <w:szCs w:val="20"/>
              </w:rPr>
              <w:t xml:space="preserve"> of 2′-FL and LNnT</w:t>
            </w:r>
            <w:r w:rsidRPr="00113A1C">
              <w:rPr>
                <w:sz w:val="20"/>
                <w:szCs w:val="20"/>
              </w:rPr>
              <w:t xml:space="preserve"> to FSFYC </w:t>
            </w:r>
            <w:r>
              <w:rPr>
                <w:sz w:val="20"/>
                <w:szCs w:val="20"/>
              </w:rPr>
              <w:t xml:space="preserve">is safe. In addition the evidence demonstrates that both </w:t>
            </w:r>
            <w:r w:rsidR="0027557C">
              <w:rPr>
                <w:sz w:val="20"/>
                <w:szCs w:val="20"/>
              </w:rPr>
              <w:t>favourable</w:t>
            </w:r>
            <w:r>
              <w:rPr>
                <w:sz w:val="20"/>
                <w:szCs w:val="20"/>
              </w:rPr>
              <w:t xml:space="preserve"> effects (bifidogenic effect and pathogen binding effect) are valid for both infants and young children. As noted above </w:t>
            </w:r>
            <w:r>
              <w:rPr>
                <w:rFonts w:cs="Arial"/>
                <w:sz w:val="20"/>
                <w:szCs w:val="20"/>
              </w:rPr>
              <w:t xml:space="preserve">Camplyobacter infections are one of the most </w:t>
            </w:r>
            <w:r w:rsidR="008047E6">
              <w:rPr>
                <w:rFonts w:cs="Arial"/>
                <w:sz w:val="20"/>
                <w:szCs w:val="20"/>
              </w:rPr>
              <w:t xml:space="preserve">common </w:t>
            </w:r>
            <w:r>
              <w:rPr>
                <w:rFonts w:cs="Arial"/>
                <w:sz w:val="20"/>
                <w:szCs w:val="20"/>
              </w:rPr>
              <w:t>causes of gastrointestinal disease</w:t>
            </w:r>
            <w:r>
              <w:rPr>
                <w:rStyle w:val="FootnoteReference"/>
                <w:rFonts w:cs="Arial"/>
                <w:sz w:val="20"/>
                <w:szCs w:val="20"/>
              </w:rPr>
              <w:footnoteReference w:id="14"/>
            </w:r>
            <w:r>
              <w:rPr>
                <w:rFonts w:cs="Arial"/>
                <w:sz w:val="20"/>
                <w:szCs w:val="20"/>
              </w:rPr>
              <w:t>, in children under 5 years of age</w:t>
            </w:r>
            <w:r>
              <w:rPr>
                <w:rStyle w:val="FootnoteReference"/>
                <w:rFonts w:cs="Arial"/>
                <w:sz w:val="20"/>
                <w:szCs w:val="20"/>
              </w:rPr>
              <w:footnoteReference w:id="15"/>
            </w:r>
            <w:r w:rsidR="0027557C">
              <w:rPr>
                <w:rFonts w:cs="Arial"/>
                <w:sz w:val="20"/>
                <w:szCs w:val="20"/>
              </w:rPr>
              <w:t>. Thus, permitting the addition of 2’-FL and LNnT is consistent with the applicant’s first two stated purposes.</w:t>
            </w:r>
          </w:p>
          <w:p w14:paraId="745AD523" w14:textId="77777777" w:rsidR="002E3D4A" w:rsidRDefault="002E3D4A" w:rsidP="002E3D4A">
            <w:pPr>
              <w:keepNext/>
              <w:keepLines/>
              <w:cnfStyle w:val="000000010000" w:firstRow="0" w:lastRow="0" w:firstColumn="0" w:lastColumn="0" w:oddVBand="0" w:evenVBand="0" w:oddHBand="0" w:evenHBand="1" w:firstRowFirstColumn="0" w:firstRowLastColumn="0" w:lastRowFirstColumn="0" w:lastRowLastColumn="0"/>
              <w:rPr>
                <w:rFonts w:cs="Arial"/>
                <w:sz w:val="20"/>
                <w:szCs w:val="20"/>
              </w:rPr>
            </w:pPr>
          </w:p>
          <w:p w14:paraId="752C100D" w14:textId="4B4563CF" w:rsidR="002E3D4A" w:rsidRDefault="002E3D4A" w:rsidP="002E3D4A">
            <w:pPr>
              <w:keepNext/>
              <w:keepLines/>
              <w:cnfStyle w:val="000000010000" w:firstRow="0" w:lastRow="0" w:firstColumn="0" w:lastColumn="0" w:oddVBand="0" w:evenVBand="0" w:oddHBand="0" w:evenHBand="1" w:firstRowFirstColumn="0" w:firstRowLastColumn="0" w:lastRowFirstColumn="0" w:lastRowLastColumn="0"/>
              <w:rPr>
                <w:i/>
              </w:rPr>
            </w:pPr>
            <w:r w:rsidRPr="000720C7">
              <w:rPr>
                <w:rFonts w:cs="Arial"/>
                <w:sz w:val="20"/>
                <w:szCs w:val="20"/>
              </w:rPr>
              <w:t xml:space="preserve">Although the </w:t>
            </w:r>
            <w:r>
              <w:rPr>
                <w:rFonts w:cs="Arial"/>
                <w:sz w:val="20"/>
                <w:szCs w:val="20"/>
              </w:rPr>
              <w:t>p</w:t>
            </w:r>
            <w:r w:rsidRPr="000720C7">
              <w:rPr>
                <w:rFonts w:cs="Arial"/>
                <w:sz w:val="20"/>
                <w:szCs w:val="20"/>
              </w:rPr>
              <w:t xml:space="preserve">olicy </w:t>
            </w:r>
            <w:r>
              <w:rPr>
                <w:rFonts w:cs="Arial"/>
                <w:sz w:val="20"/>
                <w:szCs w:val="20"/>
              </w:rPr>
              <w:t>g</w:t>
            </w:r>
            <w:r w:rsidRPr="000720C7">
              <w:rPr>
                <w:rFonts w:cs="Arial"/>
                <w:sz w:val="20"/>
                <w:szCs w:val="20"/>
              </w:rPr>
              <w:t xml:space="preserve">uideline did not </w:t>
            </w:r>
            <w:r>
              <w:rPr>
                <w:rFonts w:cs="Arial"/>
                <w:sz w:val="20"/>
                <w:szCs w:val="20"/>
              </w:rPr>
              <w:t>exist</w:t>
            </w:r>
            <w:r w:rsidRPr="000720C7">
              <w:rPr>
                <w:rFonts w:cs="Arial"/>
                <w:sz w:val="20"/>
                <w:szCs w:val="20"/>
              </w:rPr>
              <w:t xml:space="preserve"> when GOS and ITF were permitted for use in the Code, these oligosaccharides are currently permitted for safe use in FSFYC</w:t>
            </w:r>
            <w:r>
              <w:rPr>
                <w:rFonts w:cs="Arial"/>
                <w:sz w:val="20"/>
                <w:szCs w:val="20"/>
              </w:rPr>
              <w:t xml:space="preserve"> at higher levels than proposed for A1155</w:t>
            </w:r>
            <w:r w:rsidRPr="000720C7">
              <w:rPr>
                <w:rFonts w:cs="Arial"/>
                <w:sz w:val="20"/>
                <w:szCs w:val="20"/>
              </w:rPr>
              <w:t xml:space="preserve">. Permitting alternative options to these oligosaccharides </w:t>
            </w:r>
            <w:r>
              <w:rPr>
                <w:rFonts w:cs="Arial"/>
                <w:sz w:val="20"/>
                <w:szCs w:val="20"/>
              </w:rPr>
              <w:t>supports industry</w:t>
            </w:r>
            <w:r w:rsidRPr="000720C7">
              <w:rPr>
                <w:rFonts w:cs="Arial"/>
                <w:sz w:val="20"/>
                <w:szCs w:val="20"/>
              </w:rPr>
              <w:t xml:space="preserve"> innovation</w:t>
            </w:r>
            <w:r>
              <w:rPr>
                <w:rFonts w:cs="Arial"/>
                <w:sz w:val="20"/>
                <w:szCs w:val="20"/>
              </w:rPr>
              <w:t>.</w:t>
            </w:r>
          </w:p>
          <w:p w14:paraId="119A90BA" w14:textId="77777777" w:rsidR="002E3D4A" w:rsidRDefault="002E3D4A" w:rsidP="002E3D4A">
            <w:pPr>
              <w:keepNext/>
              <w:keepLines/>
              <w:cnfStyle w:val="000000010000" w:firstRow="0" w:lastRow="0" w:firstColumn="0" w:lastColumn="0" w:oddVBand="0" w:evenVBand="0" w:oddHBand="0" w:evenHBand="1" w:firstRowFirstColumn="0" w:firstRowLastColumn="0" w:lastRowFirstColumn="0" w:lastRowLastColumn="0"/>
              <w:rPr>
                <w:sz w:val="20"/>
                <w:szCs w:val="20"/>
              </w:rPr>
            </w:pPr>
          </w:p>
          <w:p w14:paraId="0D647A7A" w14:textId="77777777" w:rsidR="002E3D4A" w:rsidRDefault="002E3D4A" w:rsidP="002E3D4A">
            <w:pPr>
              <w:keepNext/>
              <w:keepLines/>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The proposed addition also supports international consistency and a competitive food industry </w:t>
            </w:r>
            <w:r>
              <w:rPr>
                <w:rFonts w:cs="Arial"/>
                <w:sz w:val="20"/>
                <w:szCs w:val="20"/>
              </w:rPr>
              <w:t>(in accordance with high order policy principles 2(b) and (c)),</w:t>
            </w:r>
            <w:r>
              <w:rPr>
                <w:sz w:val="20"/>
                <w:szCs w:val="20"/>
              </w:rPr>
              <w:t xml:space="preserve"> </w:t>
            </w:r>
            <w:r w:rsidRPr="00113A1C">
              <w:rPr>
                <w:sz w:val="20"/>
                <w:szCs w:val="20"/>
              </w:rPr>
              <w:t xml:space="preserve">and </w:t>
            </w:r>
            <w:r>
              <w:rPr>
                <w:sz w:val="20"/>
                <w:szCs w:val="20"/>
              </w:rPr>
              <w:t>provides</w:t>
            </w:r>
            <w:r w:rsidRPr="00113A1C">
              <w:rPr>
                <w:sz w:val="20"/>
                <w:szCs w:val="20"/>
              </w:rPr>
              <w:t xml:space="preserve"> alternative options to </w:t>
            </w:r>
            <w:r>
              <w:rPr>
                <w:sz w:val="20"/>
                <w:szCs w:val="20"/>
              </w:rPr>
              <w:t>ITF and GOS currently permitted at higher levels in FSFYC</w:t>
            </w:r>
            <w:r w:rsidRPr="00113A1C">
              <w:rPr>
                <w:sz w:val="20"/>
                <w:szCs w:val="20"/>
              </w:rPr>
              <w:t>.</w:t>
            </w:r>
          </w:p>
          <w:p w14:paraId="0A05ADA3" w14:textId="27097DFC" w:rsidR="002E3D4A" w:rsidRPr="008D4C38" w:rsidRDefault="002E3D4A" w:rsidP="002E3D4A">
            <w:pPr>
              <w:keepNext/>
              <w:keepLines/>
              <w:cnfStyle w:val="000000010000" w:firstRow="0" w:lastRow="0" w:firstColumn="0" w:lastColumn="0" w:oddVBand="0" w:evenVBand="0" w:oddHBand="0" w:evenHBand="1" w:firstRowFirstColumn="0" w:firstRowLastColumn="0" w:lastRowFirstColumn="0" w:lastRowLastColumn="0"/>
              <w:rPr>
                <w:rFonts w:cs="Arial"/>
                <w:szCs w:val="20"/>
              </w:rPr>
            </w:pPr>
          </w:p>
        </w:tc>
      </w:tr>
      <w:tr w:rsidR="002E3D4A" w14:paraId="300919AE" w14:textId="77777777" w:rsidTr="000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8" w:type="dxa"/>
            <w:gridSpan w:val="3"/>
          </w:tcPr>
          <w:p w14:paraId="2680A365" w14:textId="6C13CF3E" w:rsidR="002E3D4A" w:rsidRDefault="002E3D4A" w:rsidP="002E3D4A">
            <w:pPr>
              <w:keepNext/>
              <w:keepLines/>
              <w:rPr>
                <w:sz w:val="20"/>
              </w:rPr>
            </w:pPr>
            <w:r w:rsidRPr="006045FA">
              <w:rPr>
                <w:sz w:val="24"/>
              </w:rPr>
              <w:t>Safety</w:t>
            </w:r>
          </w:p>
        </w:tc>
      </w:tr>
      <w:tr w:rsidR="002E3D4A" w14:paraId="61F42DFD" w14:textId="77777777" w:rsidTr="000D4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0DA5D56F" w14:textId="17644C84" w:rsidR="002E3D4A" w:rsidRPr="009D03F5" w:rsidRDefault="002E3D4A" w:rsidP="002E3D4A">
            <w:pPr>
              <w:keepNext/>
              <w:keepLines/>
              <w:spacing w:before="60"/>
              <w:rPr>
                <w:rFonts w:cs="Arial"/>
                <w:color w:val="000000"/>
                <w:sz w:val="20"/>
                <w:szCs w:val="20"/>
              </w:rPr>
            </w:pPr>
            <w:r w:rsidRPr="009D03F5">
              <w:rPr>
                <w:rFonts w:cs="Arial"/>
                <w:b w:val="0"/>
                <w:color w:val="000000"/>
                <w:sz w:val="20"/>
                <w:szCs w:val="20"/>
              </w:rPr>
              <w:t>Supports FSANZ conclusion re public health and safety and noted these conclusions are consistent with international assessment conclusions</w:t>
            </w:r>
          </w:p>
        </w:tc>
        <w:tc>
          <w:tcPr>
            <w:tcW w:w="2108" w:type="dxa"/>
            <w:tcBorders>
              <w:left w:val="single" w:sz="4" w:space="0" w:color="auto"/>
              <w:right w:val="single" w:sz="4" w:space="0" w:color="auto"/>
            </w:tcBorders>
          </w:tcPr>
          <w:p w14:paraId="2DF9B8C0" w14:textId="17EE0A4C" w:rsidR="002E3D4A" w:rsidRPr="009D03F5" w:rsidRDefault="002E3D4A" w:rsidP="002E3D4A">
            <w:pPr>
              <w:keepNext/>
              <w:keepLines/>
              <w:spacing w:before="60"/>
              <w:cnfStyle w:val="000000010000" w:firstRow="0" w:lastRow="0" w:firstColumn="0" w:lastColumn="0" w:oddVBand="0" w:evenVBand="0" w:oddHBand="0" w:evenHBand="1" w:firstRowFirstColumn="0" w:firstRowLastColumn="0" w:lastRowFirstColumn="0" w:lastRowLastColumn="0"/>
              <w:rPr>
                <w:rFonts w:cs="Arial"/>
                <w:sz w:val="20"/>
                <w:szCs w:val="20"/>
              </w:rPr>
            </w:pPr>
            <w:r w:rsidRPr="009D03F5">
              <w:rPr>
                <w:rFonts w:cs="Arial"/>
                <w:sz w:val="20"/>
                <w:szCs w:val="20"/>
              </w:rPr>
              <w:t>New Zealand Food Safety, Abbott Nutrition, Nestle, BASF,</w:t>
            </w:r>
          </w:p>
        </w:tc>
        <w:tc>
          <w:tcPr>
            <w:tcW w:w="6378" w:type="dxa"/>
            <w:tcBorders>
              <w:left w:val="single" w:sz="4" w:space="0" w:color="auto"/>
            </w:tcBorders>
          </w:tcPr>
          <w:p w14:paraId="603164C8" w14:textId="016A4FDA" w:rsidR="002E3D4A" w:rsidRPr="009D03F5" w:rsidRDefault="002E3D4A" w:rsidP="002E3D4A">
            <w:pPr>
              <w:widowControl/>
              <w:spacing w:before="60"/>
              <w:cnfStyle w:val="000000010000" w:firstRow="0" w:lastRow="0" w:firstColumn="0" w:lastColumn="0" w:oddVBand="0" w:evenVBand="0" w:oddHBand="0" w:evenHBand="1" w:firstRowFirstColumn="0" w:firstRowLastColumn="0" w:lastRowFirstColumn="0" w:lastRowLastColumn="0"/>
              <w:rPr>
                <w:rFonts w:cs="Arial"/>
                <w:sz w:val="20"/>
                <w:szCs w:val="20"/>
              </w:rPr>
            </w:pPr>
            <w:r w:rsidRPr="009D03F5">
              <w:rPr>
                <w:rFonts w:cs="Arial"/>
                <w:sz w:val="20"/>
                <w:szCs w:val="20"/>
              </w:rPr>
              <w:t xml:space="preserve">Noted </w:t>
            </w:r>
          </w:p>
        </w:tc>
      </w:tr>
      <w:tr w:rsidR="002E3D4A" w14:paraId="1C230B78" w14:textId="77777777" w:rsidTr="000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794C7D23" w14:textId="37A75429" w:rsidR="002E3D4A" w:rsidRPr="009D03F5" w:rsidRDefault="002E3D4A" w:rsidP="002E3D4A">
            <w:pPr>
              <w:spacing w:before="60"/>
              <w:rPr>
                <w:rFonts w:cs="Arial"/>
                <w:b w:val="0"/>
                <w:color w:val="000000"/>
                <w:sz w:val="20"/>
                <w:szCs w:val="20"/>
              </w:rPr>
            </w:pPr>
            <w:r>
              <w:rPr>
                <w:rFonts w:cs="Arial"/>
                <w:b w:val="0"/>
                <w:color w:val="000000"/>
                <w:sz w:val="20"/>
                <w:szCs w:val="20"/>
              </w:rPr>
              <w:t xml:space="preserve">FSANZ has not demonstrated sufficiently the protection of public health and safety at the proposed levels. </w:t>
            </w:r>
          </w:p>
        </w:tc>
        <w:tc>
          <w:tcPr>
            <w:tcW w:w="2108" w:type="dxa"/>
            <w:tcBorders>
              <w:left w:val="single" w:sz="4" w:space="0" w:color="auto"/>
              <w:right w:val="single" w:sz="4" w:space="0" w:color="auto"/>
            </w:tcBorders>
          </w:tcPr>
          <w:p w14:paraId="06699497" w14:textId="21EE0A40" w:rsidR="002E3D4A" w:rsidRPr="009D03F5" w:rsidRDefault="002E3D4A" w:rsidP="002E3D4A">
            <w:pPr>
              <w:spacing w:before="6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Vic Govt</w:t>
            </w:r>
          </w:p>
        </w:tc>
        <w:tc>
          <w:tcPr>
            <w:tcW w:w="6378" w:type="dxa"/>
            <w:tcBorders>
              <w:left w:val="single" w:sz="4" w:space="0" w:color="auto"/>
            </w:tcBorders>
          </w:tcPr>
          <w:p w14:paraId="6F56A27C" w14:textId="2CE0250C" w:rsidR="002E3D4A" w:rsidRDefault="002E3D4A" w:rsidP="002E3D4A">
            <w:pPr>
              <w:widowControl/>
              <w:spacing w:before="60"/>
              <w:cnfStyle w:val="000000100000" w:firstRow="0" w:lastRow="0" w:firstColumn="0" w:lastColumn="0" w:oddVBand="0" w:evenVBand="0" w:oddHBand="1" w:evenHBand="0" w:firstRowFirstColumn="0" w:firstRowLastColumn="0" w:lastRowFirstColumn="0" w:lastRowLastColumn="0"/>
              <w:rPr>
                <w:sz w:val="20"/>
              </w:rPr>
            </w:pPr>
            <w:r w:rsidRPr="00B433C6">
              <w:rPr>
                <w:sz w:val="20"/>
              </w:rPr>
              <w:t>FSANZ conducted a comprehensive risk assessment</w:t>
            </w:r>
            <w:r>
              <w:rPr>
                <w:sz w:val="20"/>
              </w:rPr>
              <w:t xml:space="preserve"> according to internationally accepted methods and principles for the risk assessment of chemical substances in foods. </w:t>
            </w:r>
          </w:p>
          <w:p w14:paraId="48D75DDC" w14:textId="1EB4579C" w:rsidR="002E3D4A" w:rsidRDefault="002E3D4A" w:rsidP="002E3D4A">
            <w:pPr>
              <w:widowControl/>
              <w:spacing w:before="60"/>
              <w:cnfStyle w:val="000000100000" w:firstRow="0" w:lastRow="0" w:firstColumn="0" w:lastColumn="0" w:oddVBand="0" w:evenVBand="0" w:oddHBand="1" w:evenHBand="0" w:firstRowFirstColumn="0" w:firstRowLastColumn="0" w:lastRowFirstColumn="0" w:lastRowLastColumn="0"/>
              <w:rPr>
                <w:sz w:val="20"/>
              </w:rPr>
            </w:pPr>
            <w:r w:rsidRPr="00B433C6">
              <w:rPr>
                <w:sz w:val="20"/>
              </w:rPr>
              <w:t>The assessment included a literature review</w:t>
            </w:r>
            <w:r>
              <w:rPr>
                <w:sz w:val="20"/>
              </w:rPr>
              <w:t xml:space="preserve"> and </w:t>
            </w:r>
            <w:r w:rsidRPr="00B433C6">
              <w:rPr>
                <w:sz w:val="20"/>
              </w:rPr>
              <w:t xml:space="preserve">identification of </w:t>
            </w:r>
            <w:r>
              <w:rPr>
                <w:sz w:val="20"/>
              </w:rPr>
              <w:t>additional</w:t>
            </w:r>
            <w:r w:rsidRPr="00B433C6">
              <w:rPr>
                <w:sz w:val="20"/>
              </w:rPr>
              <w:t xml:space="preserve"> studies not provided by the applicant, critical assessments of the studies provided by the applicant, and a comprehensive dietary exposure assessment for Australian and New Zealand consumers. </w:t>
            </w:r>
          </w:p>
          <w:p w14:paraId="786BFF04" w14:textId="35379894" w:rsidR="002E3D4A" w:rsidRDefault="002E3D4A" w:rsidP="002E3D4A">
            <w:pPr>
              <w:spacing w:before="120"/>
              <w:cnfStyle w:val="000000100000" w:firstRow="0" w:lastRow="0" w:firstColumn="0" w:lastColumn="0" w:oddVBand="0" w:evenVBand="0" w:oddHBand="1" w:evenHBand="0" w:firstRowFirstColumn="0" w:firstRowLastColumn="0" w:lastRowFirstColumn="0" w:lastRowLastColumn="0"/>
              <w:rPr>
                <w:sz w:val="20"/>
              </w:rPr>
            </w:pPr>
            <w:r w:rsidRPr="00470E21">
              <w:rPr>
                <w:sz w:val="20"/>
              </w:rPr>
              <w:t>2’-FL and LNnT have</w:t>
            </w:r>
            <w:r>
              <w:rPr>
                <w:sz w:val="20"/>
              </w:rPr>
              <w:t xml:space="preserve"> also</w:t>
            </w:r>
            <w:r w:rsidRPr="00470E21">
              <w:rPr>
                <w:sz w:val="20"/>
              </w:rPr>
              <w:t xml:space="preserve"> been assessed as safe and suitable for use in IF &amp; FSFYC by many regulatory bodies across the world</w:t>
            </w:r>
            <w:r>
              <w:rPr>
                <w:sz w:val="20"/>
              </w:rPr>
              <w:t xml:space="preserve"> including at the levels proposed</w:t>
            </w:r>
            <w:r w:rsidRPr="00470E21">
              <w:rPr>
                <w:sz w:val="20"/>
              </w:rPr>
              <w:t>. They are permitted to be added to IF &amp; FSFYC (as well as a number of other foods) in a</w:t>
            </w:r>
            <w:r>
              <w:rPr>
                <w:sz w:val="20"/>
              </w:rPr>
              <w:t>t</w:t>
            </w:r>
            <w:r w:rsidRPr="00470E21">
              <w:rPr>
                <w:sz w:val="20"/>
              </w:rPr>
              <w:t xml:space="preserve"> least 37 other countries. </w:t>
            </w:r>
            <w:r w:rsidRPr="00A37B9C">
              <w:rPr>
                <w:sz w:val="20"/>
              </w:rPr>
              <w:t xml:space="preserve">The proposed concentrations to be added to infant formula products are within the range of concentrations found in mature human milk. </w:t>
            </w:r>
          </w:p>
          <w:p w14:paraId="1B76157D" w14:textId="3F5AC95F" w:rsidR="002E3D4A" w:rsidRPr="009D03F5" w:rsidRDefault="002E3D4A" w:rsidP="002E3D4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A37B9C">
              <w:rPr>
                <w:sz w:val="20"/>
              </w:rPr>
              <w:t>The levels</w:t>
            </w:r>
            <w:r>
              <w:rPr>
                <w:sz w:val="20"/>
              </w:rPr>
              <w:t xml:space="preserve"> approved by FSANZ</w:t>
            </w:r>
            <w:r w:rsidRPr="00A37B9C">
              <w:rPr>
                <w:sz w:val="20"/>
              </w:rPr>
              <w:t xml:space="preserve"> are also consistent with the range </w:t>
            </w:r>
            <w:r>
              <w:rPr>
                <w:sz w:val="20"/>
              </w:rPr>
              <w:t xml:space="preserve">approved in various countries </w:t>
            </w:r>
            <w:r w:rsidRPr="00A37B9C">
              <w:rPr>
                <w:sz w:val="20"/>
              </w:rPr>
              <w:t>overseas</w:t>
            </w:r>
            <w:r w:rsidRPr="00470E21">
              <w:rPr>
                <w:sz w:val="20"/>
              </w:rPr>
              <w:t xml:space="preserve"> in the last 3</w:t>
            </w:r>
            <w:r>
              <w:rPr>
                <w:sz w:val="20"/>
              </w:rPr>
              <w:t>–</w:t>
            </w:r>
            <w:r w:rsidRPr="00470E21">
              <w:rPr>
                <w:sz w:val="20"/>
              </w:rPr>
              <w:t xml:space="preserve">4 years. </w:t>
            </w:r>
          </w:p>
        </w:tc>
      </w:tr>
      <w:tr w:rsidR="002E3D4A" w14:paraId="1835F92C" w14:textId="77777777" w:rsidTr="000D4A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402692A1" w14:textId="4AEB2A07" w:rsidR="002E3D4A" w:rsidRPr="009D03F5" w:rsidRDefault="002E3D4A" w:rsidP="002E3D4A">
            <w:pPr>
              <w:spacing w:before="60"/>
              <w:rPr>
                <w:rFonts w:cs="Arial"/>
                <w:b w:val="0"/>
                <w:color w:val="000000"/>
                <w:sz w:val="20"/>
                <w:szCs w:val="20"/>
              </w:rPr>
            </w:pPr>
            <w:r w:rsidRPr="009D03F5">
              <w:rPr>
                <w:rFonts w:cs="Arial"/>
                <w:b w:val="0"/>
                <w:color w:val="000000"/>
                <w:sz w:val="20"/>
                <w:szCs w:val="20"/>
              </w:rPr>
              <w:t>Consider that the long term safety of HMO is unknown</w:t>
            </w:r>
          </w:p>
        </w:tc>
        <w:tc>
          <w:tcPr>
            <w:tcW w:w="2108" w:type="dxa"/>
            <w:tcBorders>
              <w:left w:val="single" w:sz="4" w:space="0" w:color="auto"/>
              <w:right w:val="single" w:sz="4" w:space="0" w:color="auto"/>
            </w:tcBorders>
          </w:tcPr>
          <w:p w14:paraId="22D3FFFC" w14:textId="64EC7D19" w:rsidR="002E3D4A" w:rsidRPr="009D03F5" w:rsidRDefault="002E3D4A" w:rsidP="002E3D4A">
            <w:pPr>
              <w:spacing w:before="60"/>
              <w:cnfStyle w:val="000000010000" w:firstRow="0" w:lastRow="0" w:firstColumn="0" w:lastColumn="0" w:oddVBand="0" w:evenVBand="0" w:oddHBand="0" w:evenHBand="1" w:firstRowFirstColumn="0" w:firstRowLastColumn="0" w:lastRowFirstColumn="0" w:lastRowLastColumn="0"/>
              <w:rPr>
                <w:rFonts w:cs="Arial"/>
                <w:sz w:val="20"/>
                <w:szCs w:val="20"/>
              </w:rPr>
            </w:pPr>
            <w:r>
              <w:rPr>
                <w:sz w:val="20"/>
                <w:szCs w:val="20"/>
              </w:rPr>
              <w:t>Breast Feeding A</w:t>
            </w:r>
            <w:r w:rsidRPr="009D03F5">
              <w:rPr>
                <w:sz w:val="20"/>
                <w:szCs w:val="20"/>
              </w:rPr>
              <w:t>dvocacy Aust</w:t>
            </w:r>
            <w:r>
              <w:rPr>
                <w:sz w:val="20"/>
                <w:szCs w:val="20"/>
              </w:rPr>
              <w:t xml:space="preserve">ralia </w:t>
            </w:r>
            <w:r w:rsidRPr="009D03F5">
              <w:rPr>
                <w:sz w:val="20"/>
                <w:szCs w:val="20"/>
              </w:rPr>
              <w:t xml:space="preserve"> </w:t>
            </w:r>
          </w:p>
        </w:tc>
        <w:tc>
          <w:tcPr>
            <w:tcW w:w="6378" w:type="dxa"/>
            <w:tcBorders>
              <w:left w:val="single" w:sz="4" w:space="0" w:color="auto"/>
            </w:tcBorders>
          </w:tcPr>
          <w:p w14:paraId="3A1023B0" w14:textId="32CC7E41" w:rsidR="002E3D4A" w:rsidRPr="009D03F5" w:rsidRDefault="002E3D4A" w:rsidP="002E3D4A">
            <w:pPr>
              <w:spacing w:before="60"/>
              <w:cnfStyle w:val="000000010000" w:firstRow="0" w:lastRow="0" w:firstColumn="0" w:lastColumn="0" w:oddVBand="0" w:evenVBand="0" w:oddHBand="0" w:evenHBand="1" w:firstRowFirstColumn="0" w:firstRowLastColumn="0" w:lastRowFirstColumn="0" w:lastRowLastColumn="0"/>
              <w:rPr>
                <w:rFonts w:cs="Arial"/>
                <w:sz w:val="20"/>
                <w:szCs w:val="20"/>
              </w:rPr>
            </w:pPr>
            <w:r w:rsidRPr="009D03F5">
              <w:rPr>
                <w:sz w:val="20"/>
                <w:szCs w:val="20"/>
              </w:rPr>
              <w:t xml:space="preserve">Noted. </w:t>
            </w:r>
            <w:r>
              <w:rPr>
                <w:sz w:val="20"/>
                <w:szCs w:val="20"/>
              </w:rPr>
              <w:t xml:space="preserve">Refer to comments above and to section 2.2 below.  </w:t>
            </w:r>
          </w:p>
        </w:tc>
      </w:tr>
      <w:tr w:rsidR="002E3D4A" w14:paraId="572B7AF0" w14:textId="77777777" w:rsidTr="000D4AB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608" w:type="dxa"/>
            <w:gridSpan w:val="3"/>
            <w:vAlign w:val="center"/>
          </w:tcPr>
          <w:p w14:paraId="5A8C65D5" w14:textId="1F48A768" w:rsidR="002E3D4A" w:rsidRPr="00764CEC" w:rsidRDefault="002E3D4A" w:rsidP="002E3D4A">
            <w:r w:rsidRPr="00764CEC">
              <w:rPr>
                <w:rFonts w:cs="Arial"/>
                <w:color w:val="000000"/>
                <w:szCs w:val="20"/>
              </w:rPr>
              <w:t xml:space="preserve">Proposed maximum level </w:t>
            </w:r>
          </w:p>
        </w:tc>
      </w:tr>
      <w:tr w:rsidR="002E3D4A" w14:paraId="6D938143" w14:textId="77777777" w:rsidTr="000D4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69F1787F" w14:textId="7531B62A" w:rsidR="002E3D4A" w:rsidRPr="00F55329" w:rsidRDefault="002E3D4A" w:rsidP="002E3D4A">
            <w:pPr>
              <w:spacing w:before="60"/>
              <w:rPr>
                <w:rFonts w:cs="Arial"/>
                <w:b w:val="0"/>
                <w:color w:val="000000"/>
                <w:sz w:val="20"/>
                <w:szCs w:val="20"/>
              </w:rPr>
            </w:pPr>
            <w:r w:rsidRPr="00F55329">
              <w:rPr>
                <w:rFonts w:cs="Arial"/>
                <w:b w:val="0"/>
                <w:sz w:val="20"/>
                <w:szCs w:val="20"/>
              </w:rPr>
              <w:t>Supports maximum use levels proposed for 2′-</w:t>
            </w:r>
            <w:r>
              <w:rPr>
                <w:rFonts w:cs="Arial"/>
                <w:b w:val="0"/>
                <w:sz w:val="20"/>
                <w:szCs w:val="20"/>
              </w:rPr>
              <w:t>FL alone and combined with LNnT noting still significantly lower than human milk and other oligosaccharides permitted for addition</w:t>
            </w:r>
          </w:p>
        </w:tc>
        <w:tc>
          <w:tcPr>
            <w:tcW w:w="2108" w:type="dxa"/>
            <w:tcBorders>
              <w:left w:val="single" w:sz="4" w:space="0" w:color="auto"/>
              <w:right w:val="single" w:sz="4" w:space="0" w:color="auto"/>
            </w:tcBorders>
          </w:tcPr>
          <w:p w14:paraId="6FA88DD4" w14:textId="42A517A2" w:rsidR="002E3D4A" w:rsidRPr="009D03F5" w:rsidRDefault="002E3D4A" w:rsidP="002E3D4A">
            <w:pPr>
              <w:spacing w:before="60"/>
              <w:cnfStyle w:val="000000010000" w:firstRow="0" w:lastRow="0" w:firstColumn="0" w:lastColumn="0" w:oddVBand="0" w:evenVBand="0" w:oddHBand="0" w:evenHBand="1" w:firstRowFirstColumn="0" w:firstRowLastColumn="0" w:lastRowFirstColumn="0" w:lastRowLastColumn="0"/>
              <w:rPr>
                <w:sz w:val="20"/>
                <w:szCs w:val="20"/>
              </w:rPr>
            </w:pPr>
            <w:r w:rsidRPr="009D03F5">
              <w:rPr>
                <w:sz w:val="20"/>
                <w:szCs w:val="20"/>
              </w:rPr>
              <w:t xml:space="preserve">Nestle </w:t>
            </w:r>
          </w:p>
        </w:tc>
        <w:tc>
          <w:tcPr>
            <w:tcW w:w="6378" w:type="dxa"/>
            <w:tcBorders>
              <w:left w:val="single" w:sz="4" w:space="0" w:color="auto"/>
            </w:tcBorders>
          </w:tcPr>
          <w:p w14:paraId="3055FB39" w14:textId="4431E6ED" w:rsidR="002E3D4A" w:rsidRPr="00212C51" w:rsidRDefault="002E3D4A" w:rsidP="002E3D4A">
            <w:pPr>
              <w:spacing w:before="60"/>
              <w:cnfStyle w:val="000000010000" w:firstRow="0" w:lastRow="0" w:firstColumn="0" w:lastColumn="0" w:oddVBand="0" w:evenVBand="0" w:oddHBand="0" w:evenHBand="1" w:firstRowFirstColumn="0" w:firstRowLastColumn="0" w:lastRowFirstColumn="0" w:lastRowLastColumn="0"/>
            </w:pPr>
            <w:r w:rsidRPr="00657A28">
              <w:rPr>
                <w:sz w:val="20"/>
              </w:rPr>
              <w:t xml:space="preserve">Noted </w:t>
            </w:r>
          </w:p>
        </w:tc>
      </w:tr>
      <w:tr w:rsidR="002E3D4A" w14:paraId="549902FA" w14:textId="77777777" w:rsidTr="000D4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5CE97AB0" w14:textId="77777777" w:rsidR="002E3D4A" w:rsidRDefault="002E3D4A" w:rsidP="002E3D4A">
            <w:pPr>
              <w:spacing w:before="60"/>
              <w:rPr>
                <w:rFonts w:cs="Arial"/>
                <w:b w:val="0"/>
                <w:color w:val="000000"/>
                <w:sz w:val="20"/>
                <w:szCs w:val="20"/>
              </w:rPr>
            </w:pPr>
            <w:r w:rsidRPr="00426282">
              <w:rPr>
                <w:rFonts w:cs="Arial"/>
                <w:b w:val="0"/>
                <w:color w:val="000000"/>
                <w:sz w:val="20"/>
                <w:szCs w:val="20"/>
              </w:rPr>
              <w:t xml:space="preserve">The amount and composition of </w:t>
            </w:r>
            <w:r>
              <w:rPr>
                <w:rFonts w:cs="Arial"/>
                <w:b w:val="0"/>
                <w:color w:val="000000"/>
                <w:sz w:val="20"/>
                <w:szCs w:val="20"/>
              </w:rPr>
              <w:t xml:space="preserve">human milk oligosaccharides </w:t>
            </w:r>
            <w:r w:rsidRPr="00426282">
              <w:rPr>
                <w:rFonts w:cs="Arial"/>
                <w:b w:val="0"/>
                <w:color w:val="000000"/>
                <w:sz w:val="20"/>
                <w:szCs w:val="20"/>
              </w:rPr>
              <w:t>varies over the course of lactation, therefore, in the absence of additional trials, it is unknown if the maximum levels proposed are comparable to the range present in mature human mi</w:t>
            </w:r>
            <w:r>
              <w:rPr>
                <w:rFonts w:cs="Arial"/>
                <w:b w:val="0"/>
                <w:color w:val="000000"/>
                <w:sz w:val="20"/>
                <w:szCs w:val="20"/>
              </w:rPr>
              <w:t xml:space="preserve">lk, at any one time nor across </w:t>
            </w:r>
            <w:r w:rsidRPr="00426282">
              <w:rPr>
                <w:rFonts w:cs="Arial"/>
                <w:b w:val="0"/>
                <w:color w:val="000000"/>
                <w:sz w:val="20"/>
                <w:szCs w:val="20"/>
              </w:rPr>
              <w:t>an i</w:t>
            </w:r>
            <w:r>
              <w:rPr>
                <w:rFonts w:cs="Arial"/>
                <w:b w:val="0"/>
                <w:color w:val="000000"/>
                <w:sz w:val="20"/>
                <w:szCs w:val="20"/>
              </w:rPr>
              <w:t xml:space="preserve">nfant’s feeding lifespan. </w:t>
            </w:r>
          </w:p>
          <w:p w14:paraId="458AB221" w14:textId="21D80626" w:rsidR="002E3D4A" w:rsidRPr="00F55329" w:rsidRDefault="002E3D4A" w:rsidP="002E3D4A">
            <w:pPr>
              <w:spacing w:before="60"/>
              <w:rPr>
                <w:rFonts w:cs="Arial"/>
                <w:b w:val="0"/>
                <w:sz w:val="20"/>
                <w:szCs w:val="20"/>
              </w:rPr>
            </w:pPr>
            <w:r w:rsidRPr="00426282">
              <w:rPr>
                <w:rFonts w:cs="Arial"/>
                <w:b w:val="0"/>
                <w:sz w:val="20"/>
                <w:szCs w:val="20"/>
              </w:rPr>
              <w:t>Given the availability of products containing 2’-F</w:t>
            </w:r>
            <w:r>
              <w:rPr>
                <w:rFonts w:cs="Arial"/>
                <w:b w:val="0"/>
                <w:sz w:val="20"/>
                <w:szCs w:val="20"/>
              </w:rPr>
              <w:t>L</w:t>
            </w:r>
            <w:r w:rsidRPr="00426282">
              <w:rPr>
                <w:rFonts w:cs="Arial"/>
                <w:b w:val="0"/>
                <w:sz w:val="20"/>
                <w:szCs w:val="20"/>
              </w:rPr>
              <w:t xml:space="preserve"> and LNnT overseas, there is opportunity to demonstrate the safety of these products, through future high quality research.</w:t>
            </w:r>
          </w:p>
        </w:tc>
        <w:tc>
          <w:tcPr>
            <w:tcW w:w="2108" w:type="dxa"/>
            <w:tcBorders>
              <w:left w:val="single" w:sz="4" w:space="0" w:color="auto"/>
              <w:right w:val="single" w:sz="4" w:space="0" w:color="auto"/>
            </w:tcBorders>
          </w:tcPr>
          <w:p w14:paraId="74E06D35" w14:textId="6F2B62CF" w:rsidR="002E3D4A" w:rsidRPr="009D03F5" w:rsidRDefault="002E3D4A" w:rsidP="002E3D4A">
            <w:pPr>
              <w:spacing w:before="60"/>
              <w:cnfStyle w:val="000000100000" w:firstRow="0" w:lastRow="0" w:firstColumn="0" w:lastColumn="0" w:oddVBand="0" w:evenVBand="0" w:oddHBand="1" w:evenHBand="0" w:firstRowFirstColumn="0" w:firstRowLastColumn="0" w:lastRowFirstColumn="0" w:lastRowLastColumn="0"/>
              <w:rPr>
                <w:sz w:val="20"/>
                <w:szCs w:val="20"/>
              </w:rPr>
            </w:pPr>
            <w:r w:rsidRPr="009D03F5">
              <w:rPr>
                <w:rFonts w:cs="Arial"/>
                <w:sz w:val="20"/>
                <w:szCs w:val="20"/>
              </w:rPr>
              <w:t>SA Health</w:t>
            </w:r>
          </w:p>
        </w:tc>
        <w:tc>
          <w:tcPr>
            <w:tcW w:w="6378" w:type="dxa"/>
            <w:tcBorders>
              <w:left w:val="single" w:sz="4" w:space="0" w:color="auto"/>
            </w:tcBorders>
          </w:tcPr>
          <w:p w14:paraId="1D4A5762" w14:textId="15921403" w:rsidR="002E3D4A" w:rsidRDefault="002E3D4A" w:rsidP="002E3D4A">
            <w:pPr>
              <w:spacing w:before="60"/>
              <w:cnfStyle w:val="000000100000" w:firstRow="0" w:lastRow="0" w:firstColumn="0" w:lastColumn="0" w:oddVBand="0" w:evenVBand="0" w:oddHBand="1" w:evenHBand="0" w:firstRowFirstColumn="0" w:firstRowLastColumn="0" w:lastRowFirstColumn="0" w:lastRowLastColumn="0"/>
              <w:rPr>
                <w:rFonts w:cs="Arial"/>
                <w:sz w:val="20"/>
                <w:szCs w:val="20"/>
              </w:rPr>
            </w:pPr>
            <w:r w:rsidRPr="008E49A6">
              <w:rPr>
                <w:sz w:val="20"/>
              </w:rPr>
              <w:t xml:space="preserve">Tables 3.13 and 3.14 (page 63) in </w:t>
            </w:r>
            <w:hyperlink r:id="rId28" w:history="1">
              <w:r w:rsidRPr="008E49A6">
                <w:rPr>
                  <w:rStyle w:val="Hyperlink"/>
                  <w:rFonts w:cs="Arial"/>
                  <w:sz w:val="20"/>
                  <w:szCs w:val="20"/>
                </w:rPr>
                <w:t>section 3.4.1 of SD1 to the 2</w:t>
              </w:r>
              <w:r w:rsidRPr="008E49A6">
                <w:rPr>
                  <w:rStyle w:val="Hyperlink"/>
                  <w:rFonts w:cs="Arial"/>
                  <w:sz w:val="20"/>
                  <w:szCs w:val="20"/>
                  <w:vertAlign w:val="superscript"/>
                </w:rPr>
                <w:t>nd</w:t>
              </w:r>
              <w:r w:rsidRPr="008E49A6">
                <w:rPr>
                  <w:rStyle w:val="Hyperlink"/>
                  <w:rFonts w:cs="Arial"/>
                  <w:sz w:val="20"/>
                  <w:szCs w:val="20"/>
                </w:rPr>
                <w:t xml:space="preserve"> CFS</w:t>
              </w:r>
            </w:hyperlink>
            <w:r w:rsidRPr="008E49A6">
              <w:rPr>
                <w:rFonts w:cs="Arial"/>
                <w:sz w:val="20"/>
                <w:szCs w:val="20"/>
              </w:rPr>
              <w:t>, provides a summary of the range of 2’-FL and LNnT in human milk for 10</w:t>
            </w:r>
            <w:r w:rsidR="0027557C">
              <w:rPr>
                <w:rFonts w:cs="Arial"/>
                <w:sz w:val="20"/>
                <w:szCs w:val="20"/>
              </w:rPr>
              <w:t>–</w:t>
            </w:r>
            <w:r w:rsidRPr="008E49A6">
              <w:rPr>
                <w:rFonts w:cs="Arial"/>
                <w:sz w:val="20"/>
                <w:szCs w:val="20"/>
              </w:rPr>
              <w:t>60 days partum and 60+ days post-partum</w:t>
            </w:r>
            <w:r w:rsidRPr="008E49A6">
              <w:rPr>
                <w:rFonts w:cs="Arial"/>
                <w:b/>
                <w:sz w:val="20"/>
                <w:szCs w:val="20"/>
              </w:rPr>
              <w:t xml:space="preserve">. </w:t>
            </w:r>
            <w:r w:rsidRPr="008E49A6">
              <w:rPr>
                <w:rFonts w:cs="Arial"/>
                <w:sz w:val="20"/>
                <w:szCs w:val="20"/>
              </w:rPr>
              <w:t>The data for 2’FL show a mean level of 2.4 g/L in milk collected 60+ days postpartum (with a range of 1.0</w:t>
            </w:r>
            <w:r w:rsidR="0027557C">
              <w:rPr>
                <w:rFonts w:cs="Arial"/>
                <w:sz w:val="20"/>
                <w:szCs w:val="20"/>
              </w:rPr>
              <w:t>–</w:t>
            </w:r>
            <w:r w:rsidRPr="008E49A6">
              <w:rPr>
                <w:rFonts w:cs="Arial"/>
                <w:sz w:val="20"/>
                <w:szCs w:val="20"/>
              </w:rPr>
              <w:t>3.6 g/L). For LNnT the mean at 60+ days post-partum was 0.28 g/L (range 0.04</w:t>
            </w:r>
            <w:r w:rsidR="0027557C">
              <w:rPr>
                <w:rFonts w:cs="Arial"/>
                <w:sz w:val="20"/>
                <w:szCs w:val="20"/>
              </w:rPr>
              <w:t>–</w:t>
            </w:r>
            <w:r w:rsidRPr="008E49A6">
              <w:rPr>
                <w:rFonts w:cs="Arial"/>
                <w:sz w:val="20"/>
                <w:szCs w:val="20"/>
              </w:rPr>
              <w:t>1.08 g/L)</w:t>
            </w:r>
            <w:r>
              <w:rPr>
                <w:rFonts w:cs="Arial"/>
                <w:sz w:val="20"/>
                <w:szCs w:val="20"/>
              </w:rPr>
              <w:t>.</w:t>
            </w:r>
            <w:r w:rsidRPr="008E49A6">
              <w:rPr>
                <w:rFonts w:cs="Arial"/>
                <w:sz w:val="20"/>
                <w:szCs w:val="20"/>
              </w:rPr>
              <w:t xml:space="preserve"> </w:t>
            </w:r>
          </w:p>
          <w:p w14:paraId="321A8ED2" w14:textId="77777777" w:rsidR="002E3D4A" w:rsidRPr="008E49A6" w:rsidRDefault="002E3D4A" w:rsidP="002E3D4A">
            <w:pPr>
              <w:spacing w:before="60"/>
              <w:cnfStyle w:val="000000100000" w:firstRow="0" w:lastRow="0" w:firstColumn="0" w:lastColumn="0" w:oddVBand="0" w:evenVBand="0" w:oddHBand="1" w:evenHBand="0" w:firstRowFirstColumn="0" w:firstRowLastColumn="0" w:lastRowFirstColumn="0" w:lastRowLastColumn="0"/>
              <w:rPr>
                <w:rFonts w:cs="Arial"/>
                <w:sz w:val="20"/>
                <w:szCs w:val="20"/>
              </w:rPr>
            </w:pPr>
          </w:p>
          <w:p w14:paraId="60CA868F" w14:textId="3EB6483D" w:rsidR="002E3D4A" w:rsidRPr="00053B3F" w:rsidRDefault="002E3D4A" w:rsidP="002E3D4A">
            <w:pPr>
              <w:spacing w:before="60"/>
              <w:cnfStyle w:val="000000100000" w:firstRow="0" w:lastRow="0" w:firstColumn="0" w:lastColumn="0" w:oddVBand="0" w:evenVBand="0" w:oddHBand="1" w:evenHBand="0" w:firstRowFirstColumn="0" w:firstRowLastColumn="0" w:lastRowFirstColumn="0" w:lastRowLastColumn="0"/>
              <w:rPr>
                <w:sz w:val="20"/>
                <w:highlight w:val="green"/>
              </w:rPr>
            </w:pPr>
            <w:r w:rsidRPr="008E49A6">
              <w:rPr>
                <w:sz w:val="20"/>
              </w:rPr>
              <w:t>FSANZ considers that the</w:t>
            </w:r>
            <w:r>
              <w:rPr>
                <w:sz w:val="20"/>
              </w:rPr>
              <w:t xml:space="preserve"> use of products</w:t>
            </w:r>
            <w:r>
              <w:rPr>
                <w:rFonts w:cs="Arial"/>
                <w:sz w:val="20"/>
                <w:szCs w:val="20"/>
              </w:rPr>
              <w:t xml:space="preserve"> overseas</w:t>
            </w:r>
            <w:r w:rsidRPr="008E49A6">
              <w:rPr>
                <w:rFonts w:cs="Arial"/>
                <w:sz w:val="20"/>
                <w:szCs w:val="20"/>
              </w:rPr>
              <w:t xml:space="preserve"> </w:t>
            </w:r>
            <w:r>
              <w:rPr>
                <w:rFonts w:cs="Arial"/>
                <w:sz w:val="20"/>
                <w:szCs w:val="20"/>
              </w:rPr>
              <w:t xml:space="preserve">for the last few years </w:t>
            </w:r>
            <w:r w:rsidRPr="008E49A6">
              <w:rPr>
                <w:sz w:val="20"/>
                <w:szCs w:val="20"/>
              </w:rPr>
              <w:t>contributes to the</w:t>
            </w:r>
            <w:r>
              <w:rPr>
                <w:sz w:val="20"/>
                <w:szCs w:val="20"/>
              </w:rPr>
              <w:t xml:space="preserve"> evidence of a</w:t>
            </w:r>
            <w:r w:rsidRPr="008E49A6">
              <w:rPr>
                <w:sz w:val="20"/>
                <w:szCs w:val="20"/>
              </w:rPr>
              <w:t xml:space="preserve"> history of safe use.</w:t>
            </w:r>
          </w:p>
        </w:tc>
      </w:tr>
      <w:tr w:rsidR="002E3D4A" w14:paraId="6492744A" w14:textId="77777777" w:rsidTr="000D4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1EB98703" w14:textId="3CE76706" w:rsidR="002E3D4A" w:rsidRDefault="002E3D4A" w:rsidP="002E3D4A">
            <w:pPr>
              <w:keepLines/>
              <w:spacing w:before="60"/>
              <w:rPr>
                <w:rFonts w:cs="Arial"/>
                <w:b w:val="0"/>
                <w:color w:val="000000"/>
                <w:sz w:val="20"/>
                <w:szCs w:val="20"/>
              </w:rPr>
            </w:pPr>
            <w:r w:rsidRPr="009D03F5">
              <w:rPr>
                <w:rFonts w:cs="Arial"/>
                <w:b w:val="0"/>
                <w:color w:val="000000"/>
                <w:sz w:val="20"/>
                <w:szCs w:val="20"/>
              </w:rPr>
              <w:t>FSANZ has not sufficiently demonstrated the protection of public health and safety</w:t>
            </w:r>
            <w:r>
              <w:rPr>
                <w:rFonts w:cs="Arial"/>
                <w:b w:val="0"/>
                <w:color w:val="000000"/>
                <w:sz w:val="20"/>
                <w:szCs w:val="20"/>
              </w:rPr>
              <w:t xml:space="preserve"> for the target population</w:t>
            </w:r>
            <w:r w:rsidRPr="009D03F5">
              <w:rPr>
                <w:rFonts w:cs="Arial"/>
                <w:b w:val="0"/>
                <w:color w:val="000000"/>
                <w:sz w:val="20"/>
                <w:szCs w:val="20"/>
              </w:rPr>
              <w:t xml:space="preserve"> at the proposed levels.</w:t>
            </w:r>
          </w:p>
          <w:p w14:paraId="4B310F70" w14:textId="54DB807B" w:rsidR="002E3D4A" w:rsidRDefault="002E3D4A" w:rsidP="002E3D4A">
            <w:pPr>
              <w:keepLines/>
              <w:widowControl/>
              <w:autoSpaceDE w:val="0"/>
              <w:autoSpaceDN w:val="0"/>
              <w:adjustRightInd w:val="0"/>
              <w:rPr>
                <w:rFonts w:cs="Arial"/>
                <w:b w:val="0"/>
                <w:color w:val="000000"/>
                <w:sz w:val="20"/>
                <w:szCs w:val="20"/>
              </w:rPr>
            </w:pPr>
            <w:r>
              <w:rPr>
                <w:rFonts w:cs="Arial"/>
                <w:b w:val="0"/>
                <w:color w:val="000000"/>
                <w:sz w:val="20"/>
                <w:szCs w:val="20"/>
              </w:rPr>
              <w:t>D</w:t>
            </w:r>
            <w:r w:rsidRPr="00426282">
              <w:rPr>
                <w:rFonts w:cs="Arial"/>
                <w:b w:val="0"/>
                <w:color w:val="000000"/>
                <w:sz w:val="20"/>
                <w:szCs w:val="20"/>
              </w:rPr>
              <w:t>o not consider there</w:t>
            </w:r>
            <w:r>
              <w:rPr>
                <w:rFonts w:cs="Arial"/>
                <w:b w:val="0"/>
                <w:color w:val="000000"/>
                <w:sz w:val="20"/>
                <w:szCs w:val="20"/>
              </w:rPr>
              <w:t xml:space="preserve"> is sufficient justification for </w:t>
            </w:r>
            <w:r w:rsidRPr="00426282">
              <w:rPr>
                <w:rFonts w:cs="Arial"/>
                <w:b w:val="0"/>
                <w:color w:val="000000"/>
                <w:sz w:val="20"/>
                <w:szCs w:val="20"/>
              </w:rPr>
              <w:t xml:space="preserve">the maximum limit for 2’-FL level </w:t>
            </w:r>
            <w:r>
              <w:rPr>
                <w:rFonts w:cs="Arial"/>
                <w:b w:val="0"/>
                <w:color w:val="000000"/>
                <w:sz w:val="20"/>
                <w:szCs w:val="20"/>
              </w:rPr>
              <w:t xml:space="preserve">based on what has been </w:t>
            </w:r>
            <w:r w:rsidRPr="00426282">
              <w:rPr>
                <w:rFonts w:cs="Arial"/>
                <w:b w:val="0"/>
                <w:color w:val="000000"/>
                <w:sz w:val="20"/>
                <w:szCs w:val="20"/>
              </w:rPr>
              <w:t>tested in the toxicity and feeding studies</w:t>
            </w:r>
            <w:r>
              <w:rPr>
                <w:rFonts w:cs="Arial"/>
                <w:b w:val="0"/>
                <w:color w:val="000000"/>
                <w:sz w:val="20"/>
                <w:szCs w:val="20"/>
              </w:rPr>
              <w:t xml:space="preserve">. </w:t>
            </w:r>
            <w:r w:rsidRPr="00426282">
              <w:rPr>
                <w:rFonts w:cs="Arial"/>
                <w:b w:val="0"/>
                <w:color w:val="000000"/>
                <w:sz w:val="20"/>
                <w:szCs w:val="20"/>
              </w:rPr>
              <w:t xml:space="preserve">FSANZ has theorised that the higher maximum levels are safe, </w:t>
            </w:r>
            <w:r>
              <w:rPr>
                <w:rFonts w:cs="Arial"/>
                <w:b w:val="0"/>
                <w:color w:val="000000"/>
                <w:sz w:val="20"/>
                <w:szCs w:val="20"/>
              </w:rPr>
              <w:t xml:space="preserve">but </w:t>
            </w:r>
            <w:r w:rsidRPr="00426282">
              <w:rPr>
                <w:rFonts w:cs="Arial"/>
                <w:b w:val="0"/>
                <w:color w:val="000000"/>
                <w:sz w:val="20"/>
                <w:szCs w:val="20"/>
              </w:rPr>
              <w:t>evidence to demonstrate this position has not been provided.</w:t>
            </w:r>
          </w:p>
          <w:p w14:paraId="03DCC47B" w14:textId="1C3DAFB9" w:rsidR="002E3D4A" w:rsidRDefault="002E3D4A" w:rsidP="002E3D4A">
            <w:pPr>
              <w:keepLines/>
              <w:widowControl/>
              <w:autoSpaceDE w:val="0"/>
              <w:autoSpaceDN w:val="0"/>
              <w:adjustRightInd w:val="0"/>
              <w:rPr>
                <w:rFonts w:cs="Arial"/>
                <w:b w:val="0"/>
                <w:color w:val="000000"/>
                <w:sz w:val="20"/>
                <w:szCs w:val="20"/>
              </w:rPr>
            </w:pPr>
          </w:p>
          <w:p w14:paraId="0AE295A3" w14:textId="00DD840A" w:rsidR="002E3D4A" w:rsidRPr="00F55329" w:rsidRDefault="002E3D4A" w:rsidP="002E3D4A">
            <w:pPr>
              <w:keepLines/>
              <w:widowControl/>
              <w:autoSpaceDE w:val="0"/>
              <w:autoSpaceDN w:val="0"/>
              <w:adjustRightInd w:val="0"/>
              <w:rPr>
                <w:rFonts w:cs="Arial"/>
                <w:sz w:val="20"/>
                <w:szCs w:val="20"/>
              </w:rPr>
            </w:pPr>
            <w:r>
              <w:rPr>
                <w:rFonts w:cs="Arial"/>
                <w:b w:val="0"/>
                <w:sz w:val="20"/>
                <w:szCs w:val="22"/>
                <w:lang w:eastAsia="en-GB" w:bidi="ar-SA"/>
              </w:rPr>
              <w:t xml:space="preserve">The </w:t>
            </w:r>
            <w:r w:rsidRPr="004F1C16">
              <w:rPr>
                <w:rFonts w:cs="Arial"/>
                <w:b w:val="0"/>
                <w:sz w:val="20"/>
                <w:szCs w:val="22"/>
                <w:lang w:eastAsia="en-GB" w:bidi="ar-SA"/>
              </w:rPr>
              <w:t>propos</w:t>
            </w:r>
            <w:r>
              <w:rPr>
                <w:rFonts w:cs="Arial"/>
                <w:b w:val="0"/>
                <w:sz w:val="20"/>
                <w:szCs w:val="22"/>
                <w:lang w:eastAsia="en-GB" w:bidi="ar-SA"/>
              </w:rPr>
              <w:t xml:space="preserve">ed </w:t>
            </w:r>
            <w:r w:rsidRPr="004F1C16">
              <w:rPr>
                <w:rFonts w:cs="Arial"/>
                <w:b w:val="0"/>
                <w:sz w:val="20"/>
                <w:szCs w:val="22"/>
                <w:lang w:eastAsia="en-GB" w:bidi="ar-SA"/>
              </w:rPr>
              <w:t xml:space="preserve">maximum </w:t>
            </w:r>
            <w:r>
              <w:rPr>
                <w:rFonts w:cs="Arial"/>
                <w:b w:val="0"/>
                <w:sz w:val="20"/>
                <w:szCs w:val="22"/>
                <w:lang w:eastAsia="en-GB" w:bidi="ar-SA"/>
              </w:rPr>
              <w:t>appears to be justified p</w:t>
            </w:r>
            <w:r w:rsidRPr="004F1C16">
              <w:rPr>
                <w:rFonts w:cs="Arial"/>
                <w:b w:val="0"/>
                <w:sz w:val="20"/>
                <w:szCs w:val="22"/>
                <w:lang w:eastAsia="en-GB" w:bidi="ar-SA"/>
              </w:rPr>
              <w:t xml:space="preserve">rimarily </w:t>
            </w:r>
            <w:r>
              <w:rPr>
                <w:rFonts w:cs="Arial"/>
                <w:b w:val="0"/>
                <w:sz w:val="20"/>
                <w:szCs w:val="22"/>
                <w:lang w:eastAsia="en-GB" w:bidi="ar-SA"/>
              </w:rPr>
              <w:t xml:space="preserve">on </w:t>
            </w:r>
            <w:r w:rsidRPr="004F1C16">
              <w:rPr>
                <w:rFonts w:cs="Arial"/>
                <w:b w:val="0"/>
                <w:sz w:val="20"/>
                <w:szCs w:val="22"/>
                <w:lang w:eastAsia="en-GB" w:bidi="ar-SA"/>
              </w:rPr>
              <w:t xml:space="preserve">a trade basis, given the US allows a higher 2’-FL level. </w:t>
            </w:r>
          </w:p>
        </w:tc>
        <w:tc>
          <w:tcPr>
            <w:tcW w:w="2108" w:type="dxa"/>
            <w:tcBorders>
              <w:left w:val="single" w:sz="4" w:space="0" w:color="auto"/>
              <w:right w:val="single" w:sz="4" w:space="0" w:color="auto"/>
            </w:tcBorders>
          </w:tcPr>
          <w:p w14:paraId="319333AE" w14:textId="6CC4D59A" w:rsidR="002E3D4A" w:rsidRPr="008E49A6" w:rsidRDefault="002E3D4A" w:rsidP="002E3D4A">
            <w:pPr>
              <w:keepLines/>
              <w:spacing w:before="60"/>
              <w:cnfStyle w:val="000000010000" w:firstRow="0" w:lastRow="0" w:firstColumn="0" w:lastColumn="0" w:oddVBand="0" w:evenVBand="0" w:oddHBand="0" w:evenHBand="1" w:firstRowFirstColumn="0" w:firstRowLastColumn="0" w:lastRowFirstColumn="0" w:lastRowLastColumn="0"/>
              <w:rPr>
                <w:sz w:val="20"/>
                <w:szCs w:val="20"/>
              </w:rPr>
            </w:pPr>
            <w:r w:rsidRPr="008E49A6">
              <w:rPr>
                <w:rFonts w:cs="Arial"/>
                <w:sz w:val="20"/>
                <w:szCs w:val="20"/>
              </w:rPr>
              <w:t>WA DoH</w:t>
            </w:r>
            <w:r>
              <w:rPr>
                <w:rFonts w:cs="Arial"/>
                <w:sz w:val="20"/>
                <w:szCs w:val="20"/>
              </w:rPr>
              <w:t>,</w:t>
            </w:r>
            <w:r w:rsidRPr="008E49A6">
              <w:rPr>
                <w:rFonts w:cs="Arial"/>
                <w:sz w:val="20"/>
                <w:szCs w:val="20"/>
              </w:rPr>
              <w:t xml:space="preserve"> </w:t>
            </w:r>
            <w:r>
              <w:rPr>
                <w:sz w:val="20"/>
                <w:szCs w:val="20"/>
              </w:rPr>
              <w:t>QLD Health</w:t>
            </w:r>
          </w:p>
        </w:tc>
        <w:tc>
          <w:tcPr>
            <w:tcW w:w="6378" w:type="dxa"/>
            <w:tcBorders>
              <w:left w:val="single" w:sz="4" w:space="0" w:color="auto"/>
            </w:tcBorders>
          </w:tcPr>
          <w:p w14:paraId="62DA7D5A" w14:textId="4C70D099" w:rsidR="002E3D4A" w:rsidRPr="004D6339" w:rsidRDefault="002E3D4A" w:rsidP="002E3D4A">
            <w:pPr>
              <w:keepLines/>
              <w:spacing w:before="60"/>
              <w:cnfStyle w:val="000000010000" w:firstRow="0" w:lastRow="0" w:firstColumn="0" w:lastColumn="0" w:oddVBand="0" w:evenVBand="0" w:oddHBand="0" w:evenHBand="1" w:firstRowFirstColumn="0" w:firstRowLastColumn="0" w:lastRowFirstColumn="0" w:lastRowLastColumn="0"/>
              <w:rPr>
                <w:rFonts w:cs="Arial"/>
                <w:color w:val="000000" w:themeColor="text1"/>
              </w:rPr>
            </w:pPr>
            <w:r w:rsidRPr="008E49A6">
              <w:rPr>
                <w:rFonts w:cs="Arial"/>
                <w:sz w:val="20"/>
                <w:szCs w:val="20"/>
              </w:rPr>
              <w:t xml:space="preserve">Refer to section 2.2. </w:t>
            </w:r>
            <w:r w:rsidRPr="004D6339">
              <w:rPr>
                <w:color w:val="000000" w:themeColor="text1"/>
                <w:sz w:val="20"/>
                <w:szCs w:val="20"/>
              </w:rPr>
              <w:t xml:space="preserve">No adverse effects were observed at high doses in subchronic studies with 2’-FL or LNnT in juvenile rats (doses up to 5000 mg/kg bw/day), or in studies with 2’-FL in neonatal piglets at concentrations in formula of up to 2 g/L. These studies include histopathological analyses, which cannot be evaluated in clinical studies in human infants. </w:t>
            </w:r>
          </w:p>
          <w:p w14:paraId="77326D27" w14:textId="69C65C2A" w:rsidR="002E3D4A" w:rsidRPr="008E49A6" w:rsidRDefault="002E3D4A" w:rsidP="002E3D4A">
            <w:pPr>
              <w:keepLines/>
              <w:spacing w:before="60"/>
              <w:cnfStyle w:val="000000010000" w:firstRow="0" w:lastRow="0" w:firstColumn="0" w:lastColumn="0" w:oddVBand="0" w:evenVBand="0" w:oddHBand="0" w:evenHBand="1" w:firstRowFirstColumn="0" w:firstRowLastColumn="0" w:lastRowFirstColumn="0" w:lastRowLastColumn="0"/>
              <w:rPr>
                <w:sz w:val="20"/>
              </w:rPr>
            </w:pPr>
            <w:r w:rsidRPr="009E12C0">
              <w:rPr>
                <w:sz w:val="20"/>
                <w:lang w:val="en-AU"/>
              </w:rPr>
              <w:t>The higher maximum use level was also assessed in light of several companies’ interest in applying for their proprietary brand of one or both oligosaccharides, based on overseas approvals up to 2.4 g/L. FSANZ’s assessment of the safety and health effects up to this maximum level in A1155</w:t>
            </w:r>
            <w:r>
              <w:rPr>
                <w:sz w:val="20"/>
                <w:lang w:val="en-AU"/>
              </w:rPr>
              <w:t>,</w:t>
            </w:r>
            <w:r w:rsidRPr="009E12C0">
              <w:rPr>
                <w:sz w:val="20"/>
                <w:lang w:val="en-AU"/>
              </w:rPr>
              <w:t xml:space="preserve"> </w:t>
            </w:r>
            <w:r>
              <w:rPr>
                <w:sz w:val="20"/>
                <w:lang w:val="en-AU"/>
              </w:rPr>
              <w:t xml:space="preserve">if approved, would </w:t>
            </w:r>
            <w:r w:rsidRPr="009E12C0">
              <w:rPr>
                <w:sz w:val="20"/>
                <w:lang w:val="en-AU"/>
              </w:rPr>
              <w:t>mean that subsequent applications</w:t>
            </w:r>
            <w:r w:rsidRPr="009E12C0">
              <w:rPr>
                <w:rStyle w:val="FootnoteReference"/>
                <w:sz w:val="20"/>
                <w:lang w:val="en-AU"/>
              </w:rPr>
              <w:footnoteReference w:id="16"/>
            </w:r>
            <w:r w:rsidRPr="009E12C0">
              <w:rPr>
                <w:sz w:val="20"/>
                <w:lang w:val="en-AU"/>
              </w:rPr>
              <w:t xml:space="preserve"> would be less complex to assess consistent with the Ministerial priority to maintain an agile food regulatory system.</w:t>
            </w:r>
          </w:p>
        </w:tc>
      </w:tr>
      <w:tr w:rsidR="002E3D4A" w14:paraId="2A54CE54" w14:textId="77777777" w:rsidTr="000D4A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731C54BC" w14:textId="5978AFAA" w:rsidR="002E3D4A" w:rsidRDefault="002E3D4A" w:rsidP="002E3D4A">
            <w:pPr>
              <w:pStyle w:val="ListParagraph"/>
              <w:widowControl/>
              <w:spacing w:before="60"/>
              <w:ind w:left="34"/>
              <w:rPr>
                <w:rFonts w:cs="Arial"/>
                <w:b w:val="0"/>
                <w:sz w:val="20"/>
                <w:szCs w:val="20"/>
              </w:rPr>
            </w:pPr>
            <w:r w:rsidRPr="008E49A6">
              <w:rPr>
                <w:rFonts w:cs="Arial"/>
                <w:b w:val="0"/>
                <w:color w:val="000000"/>
                <w:sz w:val="20"/>
                <w:szCs w:val="20"/>
              </w:rPr>
              <w:t>Does not support proposed maximum use level for 2′-FL alone or combined with LNnT; reasons provided include:</w:t>
            </w:r>
            <w:r w:rsidRPr="008E49A6">
              <w:rPr>
                <w:rFonts w:cs="Arial"/>
                <w:b w:val="0"/>
                <w:sz w:val="20"/>
                <w:szCs w:val="20"/>
              </w:rPr>
              <w:t xml:space="preserve"> </w:t>
            </w:r>
          </w:p>
          <w:p w14:paraId="1C4638D8" w14:textId="34AC8AD1" w:rsidR="002E3D4A" w:rsidRPr="008E49A6" w:rsidRDefault="002E3D4A" w:rsidP="002E3D4A">
            <w:pPr>
              <w:pStyle w:val="ListParagraph"/>
              <w:widowControl/>
              <w:numPr>
                <w:ilvl w:val="0"/>
                <w:numId w:val="13"/>
              </w:numPr>
              <w:ind w:left="589" w:hanging="567"/>
              <w:rPr>
                <w:rFonts w:cs="Arial"/>
                <w:b w:val="0"/>
                <w:sz w:val="20"/>
                <w:szCs w:val="20"/>
              </w:rPr>
            </w:pPr>
            <w:r w:rsidRPr="008E49A6">
              <w:rPr>
                <w:rFonts w:cs="Arial"/>
                <w:b w:val="0"/>
                <w:sz w:val="20"/>
                <w:szCs w:val="20"/>
              </w:rPr>
              <w:t>There is no history of use in Australia and N</w:t>
            </w:r>
            <w:r>
              <w:rPr>
                <w:rFonts w:cs="Arial"/>
                <w:b w:val="0"/>
                <w:sz w:val="20"/>
                <w:szCs w:val="20"/>
              </w:rPr>
              <w:t xml:space="preserve">ew </w:t>
            </w:r>
            <w:r w:rsidRPr="008E49A6">
              <w:rPr>
                <w:rFonts w:cs="Arial"/>
                <w:b w:val="0"/>
                <w:sz w:val="20"/>
                <w:szCs w:val="20"/>
              </w:rPr>
              <w:t>Z</w:t>
            </w:r>
            <w:r>
              <w:rPr>
                <w:rFonts w:cs="Arial"/>
                <w:b w:val="0"/>
                <w:sz w:val="20"/>
                <w:szCs w:val="20"/>
              </w:rPr>
              <w:t>ealand</w:t>
            </w:r>
            <w:r w:rsidRPr="008E49A6">
              <w:rPr>
                <w:rFonts w:cs="Arial"/>
                <w:b w:val="0"/>
                <w:sz w:val="20"/>
                <w:szCs w:val="20"/>
              </w:rPr>
              <w:t xml:space="preserve"> of microbially produced 2′-FL and LNnT.</w:t>
            </w:r>
          </w:p>
          <w:p w14:paraId="35A3F366" w14:textId="54EB145A" w:rsidR="002E3D4A" w:rsidRPr="008E49A6" w:rsidRDefault="002E3D4A" w:rsidP="002E3D4A">
            <w:pPr>
              <w:pStyle w:val="ListParagraph"/>
              <w:widowControl/>
              <w:numPr>
                <w:ilvl w:val="0"/>
                <w:numId w:val="13"/>
              </w:numPr>
              <w:ind w:left="589" w:hanging="567"/>
              <w:rPr>
                <w:rFonts w:cs="Arial"/>
                <w:b w:val="0"/>
                <w:color w:val="000000"/>
                <w:sz w:val="20"/>
                <w:szCs w:val="20"/>
              </w:rPr>
            </w:pPr>
            <w:r w:rsidRPr="008E49A6">
              <w:rPr>
                <w:rFonts w:cs="Arial"/>
                <w:b w:val="0"/>
                <w:sz w:val="20"/>
                <w:szCs w:val="20"/>
              </w:rPr>
              <w:t>Extrapolation of human milk and breastfed infant health data to determine safety introduces some uncertainty which is not aligned with the specific policy principle that infant formula regulation should recognise the physiological vulnerability of infants.</w:t>
            </w:r>
          </w:p>
        </w:tc>
        <w:tc>
          <w:tcPr>
            <w:tcW w:w="2108" w:type="dxa"/>
            <w:tcBorders>
              <w:left w:val="single" w:sz="4" w:space="0" w:color="auto"/>
              <w:right w:val="single" w:sz="4" w:space="0" w:color="auto"/>
            </w:tcBorders>
          </w:tcPr>
          <w:p w14:paraId="6DBD64A5" w14:textId="3D91959B" w:rsidR="002E3D4A" w:rsidRPr="008E49A6" w:rsidRDefault="002E3D4A" w:rsidP="002E3D4A">
            <w:pPr>
              <w:spacing w:before="60"/>
              <w:cnfStyle w:val="000000100000" w:firstRow="0" w:lastRow="0" w:firstColumn="0" w:lastColumn="0" w:oddVBand="0" w:evenVBand="0" w:oddHBand="1" w:evenHBand="0" w:firstRowFirstColumn="0" w:firstRowLastColumn="0" w:lastRowFirstColumn="0" w:lastRowLastColumn="0"/>
              <w:rPr>
                <w:sz w:val="20"/>
                <w:szCs w:val="20"/>
              </w:rPr>
            </w:pPr>
            <w:r w:rsidRPr="008E49A6">
              <w:rPr>
                <w:sz w:val="20"/>
                <w:szCs w:val="20"/>
              </w:rPr>
              <w:t xml:space="preserve">SA Health, WA DoH </w:t>
            </w:r>
          </w:p>
        </w:tc>
        <w:tc>
          <w:tcPr>
            <w:tcW w:w="6378" w:type="dxa"/>
            <w:tcBorders>
              <w:left w:val="single" w:sz="4" w:space="0" w:color="auto"/>
            </w:tcBorders>
          </w:tcPr>
          <w:p w14:paraId="7E472D54" w14:textId="69BC461E" w:rsidR="002E3D4A" w:rsidRDefault="002E3D4A" w:rsidP="002E3D4A">
            <w:pPr>
              <w:spacing w:before="60"/>
              <w:cnfStyle w:val="000000100000" w:firstRow="0" w:lastRow="0" w:firstColumn="0" w:lastColumn="0" w:oddVBand="0" w:evenVBand="0" w:oddHBand="1" w:evenHBand="0" w:firstRowFirstColumn="0" w:firstRowLastColumn="0" w:lastRowFirstColumn="0" w:lastRowLastColumn="0"/>
              <w:rPr>
                <w:sz w:val="20"/>
                <w:szCs w:val="20"/>
                <w:lang w:val="en-AU"/>
              </w:rPr>
            </w:pPr>
            <w:r w:rsidRPr="008E49A6">
              <w:rPr>
                <w:sz w:val="20"/>
                <w:szCs w:val="20"/>
                <w:lang w:val="en-AU"/>
              </w:rPr>
              <w:t>Refer to section 2.2.</w:t>
            </w:r>
            <w:r>
              <w:rPr>
                <w:sz w:val="20"/>
                <w:szCs w:val="20"/>
                <w:lang w:val="en-AU"/>
              </w:rPr>
              <w:t xml:space="preserve"> FSANZ has concluded that there are no safety concerns associated with the use of </w:t>
            </w:r>
            <w:r w:rsidRPr="004106E3">
              <w:rPr>
                <w:sz w:val="20"/>
                <w:szCs w:val="20"/>
                <w:lang w:val="en-AU"/>
              </w:rPr>
              <w:t>2′-FL and LNnT</w:t>
            </w:r>
            <w:r>
              <w:rPr>
                <w:sz w:val="20"/>
                <w:szCs w:val="20"/>
                <w:lang w:val="en-AU"/>
              </w:rPr>
              <w:t xml:space="preserve"> at the proposed levels. </w:t>
            </w:r>
            <w:r w:rsidRPr="004106E3">
              <w:rPr>
                <w:sz w:val="20"/>
                <w:szCs w:val="20"/>
                <w:lang w:val="en-AU"/>
              </w:rPr>
              <w:t>Clinical studies in formula-fed infants and appropriate toxicological studies in experimental animals, including studies in neonatal animals, were available to support the safety of these substances.</w:t>
            </w:r>
            <w:r>
              <w:rPr>
                <w:sz w:val="20"/>
                <w:szCs w:val="20"/>
                <w:lang w:val="en-AU"/>
              </w:rPr>
              <w:t xml:space="preserve"> </w:t>
            </w:r>
            <w:r>
              <w:rPr>
                <w:sz w:val="20"/>
              </w:rPr>
              <w:t>This is consistent with the approvals in several overseas markets.</w:t>
            </w:r>
          </w:p>
          <w:p w14:paraId="04A5B9A4" w14:textId="77777777" w:rsidR="002E3D4A" w:rsidRDefault="002E3D4A" w:rsidP="002E3D4A">
            <w:pPr>
              <w:spacing w:before="60"/>
              <w:cnfStyle w:val="000000100000" w:firstRow="0" w:lastRow="0" w:firstColumn="0" w:lastColumn="0" w:oddVBand="0" w:evenVBand="0" w:oddHBand="1" w:evenHBand="0" w:firstRowFirstColumn="0" w:firstRowLastColumn="0" w:lastRowFirstColumn="0" w:lastRowLastColumn="0"/>
              <w:rPr>
                <w:sz w:val="20"/>
                <w:szCs w:val="20"/>
                <w:lang w:val="en-AU"/>
              </w:rPr>
            </w:pPr>
          </w:p>
          <w:p w14:paraId="08540E31" w14:textId="564C4D16" w:rsidR="002E3D4A" w:rsidRDefault="002E3D4A" w:rsidP="002E3D4A">
            <w:pPr>
              <w:cnfStyle w:val="000000100000" w:firstRow="0" w:lastRow="0" w:firstColumn="0" w:lastColumn="0" w:oddVBand="0" w:evenVBand="0" w:oddHBand="1" w:evenHBand="0" w:firstRowFirstColumn="0" w:firstRowLastColumn="0" w:lastRowFirstColumn="0" w:lastRowLastColumn="0"/>
              <w:rPr>
                <w:sz w:val="20"/>
              </w:rPr>
            </w:pPr>
            <w:r>
              <w:rPr>
                <w:sz w:val="20"/>
                <w:szCs w:val="20"/>
                <w:lang w:val="en-AU"/>
              </w:rPr>
              <w:t xml:space="preserve">FSANZ further notes that </w:t>
            </w:r>
            <w:r w:rsidRPr="008E49A6">
              <w:rPr>
                <w:sz w:val="20"/>
              </w:rPr>
              <w:t>2′-FL and LNnT</w:t>
            </w:r>
            <w:r>
              <w:rPr>
                <w:sz w:val="20"/>
              </w:rPr>
              <w:t xml:space="preserve"> </w:t>
            </w:r>
            <w:r w:rsidRPr="008E49A6">
              <w:rPr>
                <w:sz w:val="20"/>
              </w:rPr>
              <w:t>are structurally and chemically identical to the oligosaccharides in human milk</w:t>
            </w:r>
            <w:r>
              <w:rPr>
                <w:sz w:val="20"/>
              </w:rPr>
              <w:t xml:space="preserve">. </w:t>
            </w:r>
            <w:r w:rsidRPr="00EF727D">
              <w:rPr>
                <w:sz w:val="20"/>
              </w:rPr>
              <w:t>The proposed concentrations to be added to infant formula products are within the range of concentrations found in mature human milk.</w:t>
            </w:r>
            <w:r>
              <w:rPr>
                <w:sz w:val="20"/>
              </w:rPr>
              <w:t xml:space="preserve"> </w:t>
            </w:r>
          </w:p>
          <w:p w14:paraId="306C0A88" w14:textId="4B7E8254" w:rsidR="002E3D4A" w:rsidRPr="0019544D" w:rsidRDefault="002E3D4A" w:rsidP="002E3D4A">
            <w:pPr>
              <w:cnfStyle w:val="000000100000" w:firstRow="0" w:lastRow="0" w:firstColumn="0" w:lastColumn="0" w:oddVBand="0" w:evenVBand="0" w:oddHBand="1" w:evenHBand="0" w:firstRowFirstColumn="0" w:firstRowLastColumn="0" w:lastRowFirstColumn="0" w:lastRowLastColumn="0"/>
              <w:rPr>
                <w:sz w:val="20"/>
              </w:rPr>
            </w:pPr>
            <w:r w:rsidRPr="0019544D">
              <w:rPr>
                <w:sz w:val="20"/>
              </w:rPr>
              <w:t>A study comparing breastfed infants with those consuming infant formula supplemented with 2′-FL</w:t>
            </w:r>
            <w:r w:rsidRPr="008F2861">
              <w:rPr>
                <w:sz w:val="20"/>
                <w:vertAlign w:val="subscript"/>
              </w:rPr>
              <w:t>chem</w:t>
            </w:r>
            <w:r w:rsidRPr="0019544D">
              <w:rPr>
                <w:sz w:val="20"/>
              </w:rPr>
              <w:t xml:space="preserve"> found no evidence to suggest that absorption of 2′-FL</w:t>
            </w:r>
            <w:r w:rsidRPr="008F2861">
              <w:rPr>
                <w:sz w:val="20"/>
                <w:vertAlign w:val="subscript"/>
              </w:rPr>
              <w:t>chem</w:t>
            </w:r>
            <w:r w:rsidRPr="0019544D">
              <w:rPr>
                <w:sz w:val="20"/>
              </w:rPr>
              <w:t xml:space="preserve"> from formula is significantly different to that of 2′-FL in human milk. </w:t>
            </w:r>
            <w:r>
              <w:rPr>
                <w:sz w:val="20"/>
              </w:rPr>
              <w:t>S</w:t>
            </w:r>
            <w:r w:rsidRPr="0019544D">
              <w:rPr>
                <w:sz w:val="20"/>
              </w:rPr>
              <w:t xml:space="preserve">tudies in rats found no adverse effects at high doses, confirming the lack of toxicity of 2’-FL. </w:t>
            </w:r>
          </w:p>
          <w:p w14:paraId="4F5AB5D1" w14:textId="783D06EA" w:rsidR="002E3D4A" w:rsidRDefault="002E3D4A" w:rsidP="002E3D4A">
            <w:pPr>
              <w:cnfStyle w:val="000000100000" w:firstRow="0" w:lastRow="0" w:firstColumn="0" w:lastColumn="0" w:oddVBand="0" w:evenVBand="0" w:oddHBand="1" w:evenHBand="0" w:firstRowFirstColumn="0" w:firstRowLastColumn="0" w:lastRowFirstColumn="0" w:lastRowLastColumn="0"/>
              <w:rPr>
                <w:sz w:val="20"/>
              </w:rPr>
            </w:pPr>
          </w:p>
          <w:p w14:paraId="583F388A" w14:textId="000BE14F" w:rsidR="002E3D4A" w:rsidRPr="009E12C0" w:rsidRDefault="002E3D4A" w:rsidP="002E3D4A">
            <w:pPr>
              <w:cnfStyle w:val="000000100000" w:firstRow="0" w:lastRow="0" w:firstColumn="0" w:lastColumn="0" w:oddVBand="0" w:evenVBand="0" w:oddHBand="1" w:evenHBand="0" w:firstRowFirstColumn="0" w:firstRowLastColumn="0" w:lastRowFirstColumn="0" w:lastRowLastColumn="0"/>
              <w:rPr>
                <w:sz w:val="18"/>
              </w:rPr>
            </w:pPr>
            <w:r w:rsidRPr="009E12C0">
              <w:rPr>
                <w:sz w:val="20"/>
                <w:lang w:val="en-AU"/>
              </w:rPr>
              <w:t>As noted above the assessment for a higher maximum use level means that subsequent applications</w:t>
            </w:r>
            <w:r w:rsidRPr="009E12C0">
              <w:rPr>
                <w:rStyle w:val="FootnoteReference"/>
                <w:sz w:val="20"/>
                <w:lang w:val="en-AU"/>
              </w:rPr>
              <w:footnoteReference w:id="17"/>
            </w:r>
            <w:r w:rsidRPr="009E12C0">
              <w:rPr>
                <w:sz w:val="20"/>
                <w:lang w:val="en-AU"/>
              </w:rPr>
              <w:t xml:space="preserve"> would be less complex to assess consistent with the Ministerial priority to maintain an agile food regulatory system.</w:t>
            </w:r>
          </w:p>
          <w:p w14:paraId="511F29AA" w14:textId="21AD95AD" w:rsidR="002E3D4A" w:rsidRDefault="002E3D4A" w:rsidP="002E3D4A">
            <w:pPr>
              <w:cnfStyle w:val="000000100000" w:firstRow="0" w:lastRow="0" w:firstColumn="0" w:lastColumn="0" w:oddVBand="0" w:evenVBand="0" w:oddHBand="1" w:evenHBand="0" w:firstRowFirstColumn="0" w:firstRowLastColumn="0" w:lastRowFirstColumn="0" w:lastRowLastColumn="0"/>
              <w:rPr>
                <w:sz w:val="20"/>
              </w:rPr>
            </w:pPr>
          </w:p>
          <w:p w14:paraId="73761FE2" w14:textId="5907A550" w:rsidR="002E3D4A" w:rsidRDefault="002E3D4A" w:rsidP="002E3D4A">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Based on all of the above FSANZ considers that the presence of </w:t>
            </w:r>
            <w:r w:rsidRPr="00EF727D">
              <w:rPr>
                <w:sz w:val="20"/>
              </w:rPr>
              <w:t>2′-FL and LNnT</w:t>
            </w:r>
            <w:r>
              <w:rPr>
                <w:sz w:val="20"/>
              </w:rPr>
              <w:t xml:space="preserve"> in human milk at the levels found in human milk provides evidence of safe use in human populations. </w:t>
            </w:r>
          </w:p>
          <w:p w14:paraId="15CB10EB" w14:textId="1ED0BA79" w:rsidR="002E3D4A" w:rsidRPr="008E49A6" w:rsidRDefault="002E3D4A" w:rsidP="002E3D4A">
            <w:pPr>
              <w:cnfStyle w:val="000000100000" w:firstRow="0" w:lastRow="0" w:firstColumn="0" w:lastColumn="0" w:oddVBand="0" w:evenVBand="0" w:oddHBand="1" w:evenHBand="0" w:firstRowFirstColumn="0" w:firstRowLastColumn="0" w:lastRowFirstColumn="0" w:lastRowLastColumn="0"/>
            </w:pPr>
          </w:p>
        </w:tc>
      </w:tr>
      <w:tr w:rsidR="002E3D4A" w14:paraId="5BA96B7B" w14:textId="77777777" w:rsidTr="000D4A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13AAE12D" w14:textId="23636F74" w:rsidR="002E3D4A" w:rsidRPr="00F55329" w:rsidRDefault="002E3D4A" w:rsidP="002E3D4A">
            <w:pPr>
              <w:pStyle w:val="ListParagraph"/>
              <w:widowControl/>
              <w:spacing w:before="60"/>
              <w:ind w:left="34"/>
              <w:rPr>
                <w:rFonts w:cs="Arial"/>
                <w:b w:val="0"/>
                <w:sz w:val="20"/>
                <w:szCs w:val="20"/>
              </w:rPr>
            </w:pPr>
            <w:r w:rsidRPr="00053B3F">
              <w:rPr>
                <w:rFonts w:cs="Arial"/>
                <w:b w:val="0"/>
                <w:bCs w:val="0"/>
                <w:sz w:val="20"/>
                <w:szCs w:val="20"/>
              </w:rPr>
              <w:t>FSANZ states that the addition of 2’-FL alone or</w:t>
            </w:r>
            <w:r w:rsidRPr="00FA6951">
              <w:rPr>
                <w:b w:val="0"/>
                <w:sz w:val="20"/>
              </w:rPr>
              <w:t xml:space="preserve"> combined with LNnT is supported by appropriate evidence regarding safe levels of consumption</w:t>
            </w:r>
            <w:r>
              <w:rPr>
                <w:b w:val="0"/>
                <w:sz w:val="20"/>
              </w:rPr>
              <w:t>. However the l</w:t>
            </w:r>
            <w:r w:rsidRPr="00FA6951">
              <w:rPr>
                <w:b w:val="0"/>
                <w:sz w:val="20"/>
              </w:rPr>
              <w:t>iterature</w:t>
            </w:r>
            <w:r w:rsidRPr="00FA6951">
              <w:rPr>
                <w:rFonts w:cs="Arial"/>
                <w:b w:val="0"/>
                <w:sz w:val="18"/>
                <w:szCs w:val="20"/>
              </w:rPr>
              <w:t xml:space="preserve"> </w:t>
            </w:r>
            <w:r w:rsidRPr="00F55329">
              <w:rPr>
                <w:rFonts w:cs="Arial"/>
                <w:b w:val="0"/>
                <w:sz w:val="20"/>
                <w:szCs w:val="20"/>
              </w:rPr>
              <w:t>(Plaza-Diaz et al 2018) states there is a lack of evidence to support the proposed combination</w:t>
            </w:r>
            <w:r>
              <w:rPr>
                <w:rFonts w:cs="Arial"/>
                <w:b w:val="0"/>
                <w:sz w:val="20"/>
                <w:szCs w:val="20"/>
              </w:rPr>
              <w:t xml:space="preserve"> of </w:t>
            </w:r>
            <w:r w:rsidRPr="00F55329">
              <w:rPr>
                <w:b w:val="0"/>
                <w:sz w:val="20"/>
                <w:szCs w:val="20"/>
              </w:rPr>
              <w:t>2’-FL</w:t>
            </w:r>
            <w:r>
              <w:rPr>
                <w:b w:val="0"/>
                <w:sz w:val="20"/>
                <w:szCs w:val="20"/>
              </w:rPr>
              <w:t xml:space="preserve"> and LNnT</w:t>
            </w:r>
            <w:r w:rsidRPr="00F55329">
              <w:rPr>
                <w:rFonts w:cs="Arial"/>
                <w:b w:val="0"/>
                <w:sz w:val="20"/>
                <w:szCs w:val="20"/>
              </w:rPr>
              <w:t xml:space="preserve">. </w:t>
            </w:r>
          </w:p>
          <w:p w14:paraId="50742912" w14:textId="77777777" w:rsidR="002E3D4A" w:rsidRPr="00F55329" w:rsidRDefault="002E3D4A" w:rsidP="002E3D4A">
            <w:pPr>
              <w:rPr>
                <w:rFonts w:cs="Arial"/>
                <w:b w:val="0"/>
                <w:sz w:val="20"/>
                <w:szCs w:val="20"/>
              </w:rPr>
            </w:pPr>
          </w:p>
        </w:tc>
        <w:tc>
          <w:tcPr>
            <w:tcW w:w="2108" w:type="dxa"/>
            <w:tcBorders>
              <w:left w:val="single" w:sz="4" w:space="0" w:color="auto"/>
              <w:right w:val="single" w:sz="4" w:space="0" w:color="auto"/>
            </w:tcBorders>
          </w:tcPr>
          <w:p w14:paraId="13588443" w14:textId="0CD739EA" w:rsidR="002E3D4A" w:rsidRPr="009D03F5" w:rsidRDefault="002E3D4A" w:rsidP="002E3D4A">
            <w:pPr>
              <w:spacing w:before="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SA Health</w:t>
            </w:r>
          </w:p>
        </w:tc>
        <w:tc>
          <w:tcPr>
            <w:tcW w:w="6378" w:type="dxa"/>
            <w:tcBorders>
              <w:left w:val="single" w:sz="4" w:space="0" w:color="auto"/>
            </w:tcBorders>
          </w:tcPr>
          <w:p w14:paraId="0372B3CF" w14:textId="23D0FA30" w:rsidR="002E3D4A" w:rsidRDefault="002E3D4A" w:rsidP="002E3D4A">
            <w:pPr>
              <w:spacing w:before="60"/>
              <w:cnfStyle w:val="000000010000" w:firstRow="0" w:lastRow="0" w:firstColumn="0" w:lastColumn="0" w:oddVBand="0" w:evenVBand="0" w:oddHBand="0" w:evenHBand="1" w:firstRowFirstColumn="0" w:firstRowLastColumn="0" w:lastRowFirstColumn="0" w:lastRowLastColumn="0"/>
              <w:rPr>
                <w:rFonts w:ascii="URWPalladioL-Roma" w:hAnsi="URWPalladioL-Roma" w:cs="URWPalladioL-Roma"/>
                <w:i/>
                <w:sz w:val="20"/>
                <w:szCs w:val="20"/>
                <w:lang w:eastAsia="en-GB" w:bidi="ar-SA"/>
              </w:rPr>
            </w:pPr>
            <w:r>
              <w:rPr>
                <w:rFonts w:cs="Arial"/>
                <w:sz w:val="20"/>
                <w:szCs w:val="20"/>
              </w:rPr>
              <w:t xml:space="preserve">FSANZ notes that the paper from </w:t>
            </w:r>
            <w:r w:rsidRPr="00601520">
              <w:rPr>
                <w:rFonts w:cs="Arial"/>
                <w:sz w:val="20"/>
                <w:szCs w:val="20"/>
              </w:rPr>
              <w:t xml:space="preserve">Plaza-Diaz et al (2018) does not raise concerns </w:t>
            </w:r>
            <w:r>
              <w:rPr>
                <w:rFonts w:cs="Arial"/>
                <w:sz w:val="20"/>
                <w:szCs w:val="20"/>
              </w:rPr>
              <w:t>as to</w:t>
            </w:r>
            <w:r w:rsidRPr="00601520">
              <w:rPr>
                <w:rFonts w:cs="Arial"/>
                <w:sz w:val="20"/>
                <w:szCs w:val="20"/>
              </w:rPr>
              <w:t xml:space="preserve"> the safety of </w:t>
            </w:r>
            <w:r>
              <w:rPr>
                <w:rFonts w:cs="Arial"/>
                <w:sz w:val="20"/>
                <w:szCs w:val="20"/>
              </w:rPr>
              <w:t>2′</w:t>
            </w:r>
            <w:r w:rsidRPr="00601520">
              <w:rPr>
                <w:rFonts w:cs="Arial"/>
                <w:sz w:val="20"/>
                <w:szCs w:val="20"/>
              </w:rPr>
              <w:t>-FL and LNnT</w:t>
            </w:r>
            <w:r>
              <w:rPr>
                <w:rFonts w:cs="Arial"/>
                <w:sz w:val="20"/>
                <w:szCs w:val="20"/>
              </w:rPr>
              <w:t>. The authors conclude the three studies investigating 2′</w:t>
            </w:r>
            <w:r w:rsidRPr="00601520">
              <w:rPr>
                <w:rFonts w:cs="Arial"/>
                <w:sz w:val="20"/>
                <w:szCs w:val="20"/>
              </w:rPr>
              <w:t>-FL and LNnT</w:t>
            </w:r>
            <w:r>
              <w:rPr>
                <w:rFonts w:cs="Arial"/>
                <w:sz w:val="20"/>
                <w:szCs w:val="20"/>
              </w:rPr>
              <w:t xml:space="preserve"> found consumption of “</w:t>
            </w:r>
            <w:r w:rsidRPr="00022C47">
              <w:rPr>
                <w:rFonts w:cs="Arial"/>
                <w:i/>
                <w:sz w:val="20"/>
                <w:szCs w:val="20"/>
              </w:rPr>
              <w:t xml:space="preserve">infant formula during the first 6 months of age was </w:t>
            </w:r>
            <w:r w:rsidRPr="00022C47">
              <w:rPr>
                <w:rFonts w:ascii="URWPalladioL-Roma" w:hAnsi="URWPalladioL-Roma" w:cs="URWPalladioL-Roma"/>
                <w:i/>
                <w:sz w:val="20"/>
                <w:szCs w:val="20"/>
                <w:lang w:eastAsia="en-GB" w:bidi="ar-SA"/>
              </w:rPr>
              <w:t>safe, well-tolerated, and supports age-appropriate growth….may provide immune benefits….shifts stool microbiota and metabolic signatures of infants born at term closer to that of breastfed infants”</w:t>
            </w:r>
          </w:p>
          <w:p w14:paraId="45D6C752" w14:textId="77777777" w:rsidR="002E3D4A" w:rsidRDefault="002E3D4A" w:rsidP="002E3D4A">
            <w:pPr>
              <w:cnfStyle w:val="000000010000" w:firstRow="0" w:lastRow="0" w:firstColumn="0" w:lastColumn="0" w:oddVBand="0" w:evenVBand="0" w:oddHBand="0" w:evenHBand="1" w:firstRowFirstColumn="0" w:firstRowLastColumn="0" w:lastRowFirstColumn="0" w:lastRowLastColumn="0"/>
              <w:rPr>
                <w:sz w:val="20"/>
                <w:szCs w:val="20"/>
                <w:lang w:val="en-AU"/>
              </w:rPr>
            </w:pPr>
          </w:p>
        </w:tc>
      </w:tr>
      <w:tr w:rsidR="002E3D4A" w14:paraId="5027EA15" w14:textId="77777777" w:rsidTr="000D4A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6961E149" w14:textId="13CB984B" w:rsidR="002E3D4A" w:rsidRPr="00F55329" w:rsidRDefault="002E3D4A" w:rsidP="002E3D4A">
            <w:pPr>
              <w:spacing w:before="60"/>
              <w:rPr>
                <w:rFonts w:cs="Arial"/>
                <w:b w:val="0"/>
                <w:sz w:val="20"/>
                <w:szCs w:val="20"/>
              </w:rPr>
            </w:pPr>
            <w:r>
              <w:rPr>
                <w:rFonts w:cs="Arial"/>
                <w:b w:val="0"/>
                <w:sz w:val="20"/>
                <w:szCs w:val="20"/>
              </w:rPr>
              <w:t>W</w:t>
            </w:r>
            <w:r w:rsidRPr="00F55329">
              <w:rPr>
                <w:rFonts w:cs="Arial"/>
                <w:b w:val="0"/>
                <w:sz w:val="20"/>
                <w:szCs w:val="20"/>
              </w:rPr>
              <w:t xml:space="preserve">ould prefer the levels to be based on g/L units as used internationally, </w:t>
            </w:r>
            <w:r>
              <w:rPr>
                <w:rFonts w:cs="Arial"/>
                <w:b w:val="0"/>
                <w:sz w:val="20"/>
                <w:szCs w:val="20"/>
              </w:rPr>
              <w:t xml:space="preserve">but </w:t>
            </w:r>
            <w:r w:rsidRPr="00F55329">
              <w:rPr>
                <w:rFonts w:cs="Arial"/>
                <w:b w:val="0"/>
                <w:sz w:val="20"/>
                <w:szCs w:val="20"/>
              </w:rPr>
              <w:t>can support the units of measure proposed (mg/100 kJ and g/serving)</w:t>
            </w:r>
          </w:p>
        </w:tc>
        <w:tc>
          <w:tcPr>
            <w:tcW w:w="2108" w:type="dxa"/>
            <w:tcBorders>
              <w:left w:val="single" w:sz="4" w:space="0" w:color="auto"/>
              <w:right w:val="single" w:sz="4" w:space="0" w:color="auto"/>
            </w:tcBorders>
          </w:tcPr>
          <w:p w14:paraId="6B0C9C09" w14:textId="29539C9C" w:rsidR="002E3D4A" w:rsidRPr="00053B3F" w:rsidRDefault="002E3D4A" w:rsidP="002E3D4A">
            <w:pPr>
              <w:spacing w:before="60"/>
              <w:cnfStyle w:val="000000100000" w:firstRow="0" w:lastRow="0" w:firstColumn="0" w:lastColumn="0" w:oddVBand="0" w:evenVBand="0" w:oddHBand="1" w:evenHBand="0" w:firstRowFirstColumn="0" w:firstRowLastColumn="0" w:lastRowFirstColumn="0" w:lastRowLastColumn="0"/>
              <w:rPr>
                <w:sz w:val="20"/>
                <w:szCs w:val="20"/>
              </w:rPr>
            </w:pPr>
            <w:r w:rsidRPr="00053B3F">
              <w:rPr>
                <w:rFonts w:cs="Arial"/>
                <w:sz w:val="20"/>
                <w:szCs w:val="20"/>
              </w:rPr>
              <w:t>Nestle</w:t>
            </w:r>
          </w:p>
        </w:tc>
        <w:tc>
          <w:tcPr>
            <w:tcW w:w="6378" w:type="dxa"/>
            <w:tcBorders>
              <w:left w:val="single" w:sz="4" w:space="0" w:color="auto"/>
            </w:tcBorders>
          </w:tcPr>
          <w:p w14:paraId="5DCB0266" w14:textId="11C6D44F" w:rsidR="002E3D4A" w:rsidRDefault="002E3D4A" w:rsidP="002E3D4A">
            <w:pPr>
              <w:spacing w:before="60"/>
              <w:cnfStyle w:val="000000100000" w:firstRow="0" w:lastRow="0" w:firstColumn="0" w:lastColumn="0" w:oddVBand="0" w:evenVBand="0" w:oddHBand="1" w:evenHBand="0" w:firstRowFirstColumn="0" w:firstRowLastColumn="0" w:lastRowFirstColumn="0" w:lastRowLastColumn="0"/>
              <w:rPr>
                <w:sz w:val="20"/>
                <w:szCs w:val="20"/>
                <w:lang w:val="en-AU"/>
              </w:rPr>
            </w:pPr>
            <w:r w:rsidRPr="00053B3F">
              <w:rPr>
                <w:rFonts w:cs="Arial"/>
                <w:sz w:val="20"/>
                <w:szCs w:val="20"/>
              </w:rPr>
              <w:t>Noted</w:t>
            </w:r>
          </w:p>
        </w:tc>
      </w:tr>
      <w:tr w:rsidR="002E3D4A" w14:paraId="665A28B4" w14:textId="77777777" w:rsidTr="000D4A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08" w:type="dxa"/>
            <w:gridSpan w:val="3"/>
          </w:tcPr>
          <w:p w14:paraId="13956BED" w14:textId="4738B662" w:rsidR="002E3D4A" w:rsidDel="00070BCA" w:rsidRDefault="002E3D4A" w:rsidP="002E3D4A">
            <w:pPr>
              <w:spacing w:before="120" w:after="120"/>
              <w:rPr>
                <w:sz w:val="20"/>
                <w:szCs w:val="20"/>
                <w:lang w:val="en-AU"/>
              </w:rPr>
            </w:pPr>
            <w:r w:rsidRPr="00764CEC">
              <w:t>Prohibition on use with GOS/ITF</w:t>
            </w:r>
          </w:p>
        </w:tc>
      </w:tr>
      <w:tr w:rsidR="002E3D4A" w14:paraId="56B22F47" w14:textId="77777777" w:rsidTr="000D4A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67ECBFE5" w14:textId="54BCEE4B" w:rsidR="002E3D4A" w:rsidRPr="00EA1D81" w:rsidRDefault="002E3D4A" w:rsidP="002E3D4A">
            <w:pPr>
              <w:pStyle w:val="FSTableText"/>
              <w:spacing w:before="60"/>
              <w:rPr>
                <w:b w:val="0"/>
              </w:rPr>
            </w:pPr>
            <w:r w:rsidRPr="00EA1D81">
              <w:rPr>
                <w:b w:val="0"/>
              </w:rPr>
              <w:t xml:space="preserve">Should not prohibit combinations of GOS/ITF with 2′-FL/LNnT in infant formula products and FSFYC: </w:t>
            </w:r>
          </w:p>
          <w:p w14:paraId="008AA6D6" w14:textId="5709E398" w:rsidR="002E3D4A" w:rsidRPr="0070771A" w:rsidRDefault="002E3D4A" w:rsidP="002E3D4A">
            <w:pPr>
              <w:pStyle w:val="ListParagraph"/>
              <w:widowControl/>
              <w:numPr>
                <w:ilvl w:val="0"/>
                <w:numId w:val="13"/>
              </w:numPr>
              <w:ind w:left="589" w:hanging="567"/>
              <w:rPr>
                <w:rFonts w:cs="Arial"/>
                <w:b w:val="0"/>
                <w:sz w:val="20"/>
                <w:szCs w:val="20"/>
              </w:rPr>
            </w:pPr>
            <w:r w:rsidRPr="0070771A">
              <w:rPr>
                <w:rFonts w:cs="Arial"/>
                <w:b w:val="0"/>
                <w:sz w:val="20"/>
                <w:szCs w:val="20"/>
              </w:rPr>
              <w:t>This is not consistent with the data for some combinations of GOS/scFOS with 2′-FL.</w:t>
            </w:r>
          </w:p>
          <w:p w14:paraId="622F0FC5" w14:textId="77777777" w:rsidR="002E3D4A" w:rsidRPr="0070771A" w:rsidRDefault="002E3D4A" w:rsidP="002E3D4A">
            <w:pPr>
              <w:pStyle w:val="ListParagraph"/>
              <w:widowControl/>
              <w:numPr>
                <w:ilvl w:val="0"/>
                <w:numId w:val="13"/>
              </w:numPr>
              <w:ind w:left="589" w:hanging="567"/>
              <w:rPr>
                <w:rFonts w:cs="Arial"/>
                <w:b w:val="0"/>
                <w:sz w:val="20"/>
                <w:szCs w:val="20"/>
              </w:rPr>
            </w:pPr>
            <w:r w:rsidRPr="0070771A">
              <w:rPr>
                <w:rFonts w:cs="Arial"/>
                <w:b w:val="0"/>
                <w:sz w:val="20"/>
                <w:szCs w:val="20"/>
              </w:rPr>
              <w:t>This is not consistent with international permissions.</w:t>
            </w:r>
          </w:p>
          <w:p w14:paraId="427CE2F7" w14:textId="087642B3" w:rsidR="002E3D4A" w:rsidRDefault="002E3D4A" w:rsidP="002E3D4A">
            <w:pPr>
              <w:pStyle w:val="ListParagraph"/>
              <w:widowControl/>
              <w:numPr>
                <w:ilvl w:val="0"/>
                <w:numId w:val="13"/>
              </w:numPr>
              <w:ind w:left="589" w:hanging="567"/>
              <w:rPr>
                <w:rFonts w:cs="Arial"/>
                <w:b w:val="0"/>
                <w:sz w:val="20"/>
                <w:szCs w:val="20"/>
              </w:rPr>
            </w:pPr>
            <w:r w:rsidRPr="0070771A">
              <w:rPr>
                <w:rFonts w:cs="Arial"/>
                <w:b w:val="0"/>
                <w:sz w:val="20"/>
                <w:szCs w:val="20"/>
              </w:rPr>
              <w:t xml:space="preserve">Suggests limit of 8 g/L could be set for combined use of 2′-FL/LNnT with existing GOS and ITF. </w:t>
            </w:r>
          </w:p>
          <w:p w14:paraId="3BE990D7" w14:textId="77777777" w:rsidR="002E3D4A" w:rsidRPr="0070771A" w:rsidRDefault="002E3D4A" w:rsidP="002E3D4A">
            <w:pPr>
              <w:pStyle w:val="ListParagraph"/>
              <w:widowControl/>
              <w:ind w:left="589"/>
              <w:rPr>
                <w:rFonts w:cs="Arial"/>
                <w:b w:val="0"/>
                <w:sz w:val="20"/>
                <w:szCs w:val="20"/>
              </w:rPr>
            </w:pPr>
          </w:p>
          <w:p w14:paraId="747519DD" w14:textId="2AB4E63F" w:rsidR="002E3D4A" w:rsidRPr="00F55329" w:rsidRDefault="002E3D4A" w:rsidP="002E3D4A">
            <w:pPr>
              <w:rPr>
                <w:rFonts w:cs="Arial"/>
                <w:b w:val="0"/>
                <w:sz w:val="20"/>
                <w:szCs w:val="20"/>
              </w:rPr>
            </w:pPr>
            <w:r w:rsidRPr="0070771A">
              <w:rPr>
                <w:rFonts w:cs="Arial"/>
                <w:b w:val="0"/>
                <w:sz w:val="20"/>
                <w:szCs w:val="20"/>
              </w:rPr>
              <w:t>Prohibition on use with other oligosaccharides limits trade with overseas markets</w:t>
            </w:r>
          </w:p>
        </w:tc>
        <w:tc>
          <w:tcPr>
            <w:tcW w:w="2108" w:type="dxa"/>
            <w:tcBorders>
              <w:left w:val="single" w:sz="4" w:space="0" w:color="auto"/>
              <w:right w:val="single" w:sz="4" w:space="0" w:color="auto"/>
            </w:tcBorders>
          </w:tcPr>
          <w:p w14:paraId="4B6E26F9" w14:textId="6945BE94" w:rsidR="002E3D4A" w:rsidRPr="009D03F5" w:rsidRDefault="002E3D4A" w:rsidP="002E3D4A">
            <w:pPr>
              <w:spacing w:before="60"/>
              <w:cnfStyle w:val="000000100000" w:firstRow="0" w:lastRow="0" w:firstColumn="0" w:lastColumn="0" w:oddVBand="0" w:evenVBand="0" w:oddHBand="1" w:evenHBand="0" w:firstRowFirstColumn="0" w:firstRowLastColumn="0" w:lastRowFirstColumn="0" w:lastRowLastColumn="0"/>
              <w:rPr>
                <w:sz w:val="20"/>
                <w:szCs w:val="20"/>
              </w:rPr>
            </w:pPr>
            <w:r w:rsidRPr="008771E2">
              <w:rPr>
                <w:sz w:val="20"/>
              </w:rPr>
              <w:t>Fonterra, Friesland Campina Ingredients, Abbott Nutrition, Danone</w:t>
            </w:r>
          </w:p>
        </w:tc>
        <w:tc>
          <w:tcPr>
            <w:tcW w:w="6378" w:type="dxa"/>
            <w:tcBorders>
              <w:left w:val="single" w:sz="4" w:space="0" w:color="auto"/>
            </w:tcBorders>
          </w:tcPr>
          <w:p w14:paraId="33AD1DB7" w14:textId="77777777" w:rsidR="002E3D4A" w:rsidRDefault="002E3D4A" w:rsidP="002E3D4A">
            <w:pPr>
              <w:pStyle w:val="FSTableText"/>
              <w:spacing w:before="60"/>
              <w:ind w:left="34" w:hanging="6"/>
              <w:cnfStyle w:val="000000100000" w:firstRow="0" w:lastRow="0" w:firstColumn="0" w:lastColumn="0" w:oddVBand="0" w:evenVBand="0" w:oddHBand="1" w:evenHBand="0" w:firstRowFirstColumn="0" w:firstRowLastColumn="0" w:lastRowFirstColumn="0" w:lastRowLastColumn="0"/>
            </w:pPr>
            <w:r w:rsidRPr="009D03F5">
              <w:t xml:space="preserve">As outlined </w:t>
            </w:r>
            <w:r>
              <w:t>in the 2</w:t>
            </w:r>
            <w:r w:rsidRPr="004B4BC4">
              <w:rPr>
                <w:vertAlign w:val="superscript"/>
              </w:rPr>
              <w:t>nd</w:t>
            </w:r>
            <w:r>
              <w:t xml:space="preserve"> CFS, </w:t>
            </w:r>
            <w:r w:rsidRPr="009D03F5">
              <w:t xml:space="preserve">the applicant has not sought to use 2′-FL </w:t>
            </w:r>
            <w:r>
              <w:t>and</w:t>
            </w:r>
            <w:r w:rsidRPr="009D03F5">
              <w:t xml:space="preserve"> LNnT, in any combination with existing ITF and GOS permissions. Thus FSANZ has not assessed evidence to support the combined use of existing GOS and ITF permissions with 2′-FL/LNnT (noting also scFOS is only one form of ITF), or a limit of 8 g/L for total combined use suggested in submissions.</w:t>
            </w:r>
            <w:r>
              <w:t xml:space="preserve"> </w:t>
            </w:r>
          </w:p>
          <w:p w14:paraId="1359C92E" w14:textId="77777777" w:rsidR="002E3D4A" w:rsidRPr="009D03F5" w:rsidRDefault="002E3D4A" w:rsidP="002E3D4A">
            <w:pPr>
              <w:pStyle w:val="FSTableText"/>
              <w:ind w:left="33" w:hanging="4"/>
              <w:cnfStyle w:val="000000100000" w:firstRow="0" w:lastRow="0" w:firstColumn="0" w:lastColumn="0" w:oddVBand="0" w:evenVBand="0" w:oddHBand="1" w:evenHBand="0" w:firstRowFirstColumn="0" w:firstRowLastColumn="0" w:lastRowFirstColumn="0" w:lastRowLastColumn="0"/>
            </w:pPr>
          </w:p>
          <w:p w14:paraId="5BDA09AE" w14:textId="12013E3A" w:rsidR="002E3D4A" w:rsidDel="00070BCA" w:rsidRDefault="002E3D4A" w:rsidP="002E3D4A">
            <w:pPr>
              <w:cnfStyle w:val="000000100000" w:firstRow="0" w:lastRow="0" w:firstColumn="0" w:lastColumn="0" w:oddVBand="0" w:evenVBand="0" w:oddHBand="1" w:evenHBand="0" w:firstRowFirstColumn="0" w:firstRowLastColumn="0" w:lastRowFirstColumn="0" w:lastRowLastColumn="0"/>
              <w:rPr>
                <w:sz w:val="20"/>
                <w:szCs w:val="20"/>
                <w:lang w:val="en-AU"/>
              </w:rPr>
            </w:pPr>
            <w:r w:rsidRPr="009D03F5">
              <w:rPr>
                <w:sz w:val="20"/>
                <w:szCs w:val="20"/>
              </w:rPr>
              <w:t xml:space="preserve">An application process exists for industry who wish to seek to amend the Code to allow such combinations, with appropriate supporting evidence.   </w:t>
            </w:r>
          </w:p>
        </w:tc>
      </w:tr>
      <w:tr w:rsidR="002E3D4A" w14:paraId="775B5469" w14:textId="77777777" w:rsidTr="000D4A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6A6130E6" w14:textId="1AC23F55" w:rsidR="002E3D4A" w:rsidRPr="003F644C" w:rsidRDefault="002E3D4A" w:rsidP="002E3D4A">
            <w:pPr>
              <w:spacing w:before="60"/>
              <w:rPr>
                <w:rFonts w:cs="Arial"/>
                <w:b w:val="0"/>
                <w:sz w:val="20"/>
                <w:szCs w:val="20"/>
              </w:rPr>
            </w:pPr>
            <w:r w:rsidRPr="00053B3F">
              <w:rPr>
                <w:rFonts w:cs="Arial"/>
                <w:b w:val="0"/>
                <w:sz w:val="20"/>
                <w:szCs w:val="20"/>
              </w:rPr>
              <w:t>Supports the prohibition within the scope of this</w:t>
            </w:r>
            <w:r w:rsidRPr="003F644C">
              <w:rPr>
                <w:b w:val="0"/>
                <w:sz w:val="20"/>
              </w:rPr>
              <w:t xml:space="preserve"> application, but is not opposed to future permitted combined use with appropriate scientific evidence.</w:t>
            </w:r>
          </w:p>
        </w:tc>
        <w:tc>
          <w:tcPr>
            <w:tcW w:w="2108" w:type="dxa"/>
            <w:tcBorders>
              <w:left w:val="single" w:sz="4" w:space="0" w:color="auto"/>
              <w:right w:val="single" w:sz="4" w:space="0" w:color="auto"/>
            </w:tcBorders>
          </w:tcPr>
          <w:p w14:paraId="2D9DC6B7" w14:textId="35C063E1" w:rsidR="002E3D4A" w:rsidRPr="003F644C" w:rsidRDefault="002E3D4A" w:rsidP="002E3D4A">
            <w:pPr>
              <w:spacing w:before="60"/>
              <w:cnfStyle w:val="000000010000" w:firstRow="0" w:lastRow="0" w:firstColumn="0" w:lastColumn="0" w:oddVBand="0" w:evenVBand="0" w:oddHBand="0" w:evenHBand="1" w:firstRowFirstColumn="0" w:firstRowLastColumn="0" w:lastRowFirstColumn="0" w:lastRowLastColumn="0"/>
              <w:rPr>
                <w:sz w:val="20"/>
                <w:szCs w:val="20"/>
              </w:rPr>
            </w:pPr>
            <w:r w:rsidRPr="003F644C">
              <w:rPr>
                <w:sz w:val="20"/>
              </w:rPr>
              <w:t xml:space="preserve">Nestle, Glycom </w:t>
            </w:r>
          </w:p>
        </w:tc>
        <w:tc>
          <w:tcPr>
            <w:tcW w:w="6378" w:type="dxa"/>
            <w:tcBorders>
              <w:left w:val="single" w:sz="4" w:space="0" w:color="auto"/>
            </w:tcBorders>
          </w:tcPr>
          <w:p w14:paraId="18DD282F" w14:textId="0D131A5B" w:rsidR="002E3D4A" w:rsidRPr="003F644C" w:rsidDel="00070BCA" w:rsidRDefault="002E3D4A" w:rsidP="002E3D4A">
            <w:pPr>
              <w:spacing w:before="60"/>
              <w:cnfStyle w:val="000000010000" w:firstRow="0" w:lastRow="0" w:firstColumn="0" w:lastColumn="0" w:oddVBand="0" w:evenVBand="0" w:oddHBand="0" w:evenHBand="1" w:firstRowFirstColumn="0" w:firstRowLastColumn="0" w:lastRowFirstColumn="0" w:lastRowLastColumn="0"/>
              <w:rPr>
                <w:sz w:val="20"/>
                <w:szCs w:val="20"/>
                <w:lang w:val="en-AU"/>
              </w:rPr>
            </w:pPr>
            <w:r w:rsidRPr="003F644C">
              <w:rPr>
                <w:rFonts w:cs="Arial"/>
                <w:sz w:val="20"/>
                <w:szCs w:val="20"/>
              </w:rPr>
              <w:t xml:space="preserve">Noted </w:t>
            </w:r>
          </w:p>
        </w:tc>
      </w:tr>
      <w:tr w:rsidR="002E3D4A" w14:paraId="2E25FAAA" w14:textId="77777777" w:rsidTr="000D4A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2" w:type="dxa"/>
            <w:tcBorders>
              <w:right w:val="single" w:sz="4" w:space="0" w:color="auto"/>
            </w:tcBorders>
          </w:tcPr>
          <w:p w14:paraId="0266DD31" w14:textId="06DB6CBB" w:rsidR="002E3D4A" w:rsidRDefault="002E3D4A" w:rsidP="002E3D4A">
            <w:pPr>
              <w:pStyle w:val="FSTableText"/>
              <w:spacing w:before="60"/>
              <w:rPr>
                <w:b w:val="0"/>
              </w:rPr>
            </w:pPr>
            <w:r w:rsidRPr="00EA1D81">
              <w:rPr>
                <w:b w:val="0"/>
              </w:rPr>
              <w:t>2’F</w:t>
            </w:r>
            <w:r>
              <w:rPr>
                <w:b w:val="0"/>
              </w:rPr>
              <w:t>L</w:t>
            </w:r>
            <w:r w:rsidRPr="00EA1D81">
              <w:rPr>
                <w:b w:val="0"/>
              </w:rPr>
              <w:t xml:space="preserve"> occurs naturally in goat milk. Concerned that the drafting can be interpreted to mean if 2’F</w:t>
            </w:r>
            <w:r>
              <w:rPr>
                <w:b w:val="0"/>
              </w:rPr>
              <w:t>L</w:t>
            </w:r>
            <w:r w:rsidRPr="00EA1D81">
              <w:rPr>
                <w:b w:val="0"/>
              </w:rPr>
              <w:t xml:space="preserve"> is detected in goat milk formula </w:t>
            </w:r>
            <w:r>
              <w:rPr>
                <w:b w:val="0"/>
              </w:rPr>
              <w:t xml:space="preserve">which has </w:t>
            </w:r>
            <w:r w:rsidRPr="00EA1D81">
              <w:rPr>
                <w:b w:val="0"/>
              </w:rPr>
              <w:t>GOS and ITF</w:t>
            </w:r>
            <w:r>
              <w:rPr>
                <w:b w:val="0"/>
              </w:rPr>
              <w:t xml:space="preserve"> </w:t>
            </w:r>
            <w:r w:rsidRPr="00EA1D81">
              <w:rPr>
                <w:b w:val="0"/>
              </w:rPr>
              <w:t>it would be non-compliant.</w:t>
            </w:r>
          </w:p>
        </w:tc>
        <w:tc>
          <w:tcPr>
            <w:tcW w:w="2108" w:type="dxa"/>
            <w:tcBorders>
              <w:left w:val="single" w:sz="4" w:space="0" w:color="auto"/>
              <w:right w:val="single" w:sz="4" w:space="0" w:color="auto"/>
            </w:tcBorders>
          </w:tcPr>
          <w:p w14:paraId="3F4047EA" w14:textId="259E57DE" w:rsidR="002E3D4A" w:rsidRPr="009D03F5" w:rsidRDefault="002E3D4A" w:rsidP="002E3D4A">
            <w:pPr>
              <w:cnfStyle w:val="000000100000" w:firstRow="0" w:lastRow="0" w:firstColumn="0" w:lastColumn="0" w:oddVBand="0" w:evenVBand="0" w:oddHBand="1" w:evenHBand="0" w:firstRowFirstColumn="0" w:firstRowLastColumn="0" w:lastRowFirstColumn="0" w:lastRowLastColumn="0"/>
              <w:rPr>
                <w:sz w:val="20"/>
                <w:szCs w:val="20"/>
              </w:rPr>
            </w:pPr>
            <w:r>
              <w:t xml:space="preserve">DGC </w:t>
            </w:r>
          </w:p>
        </w:tc>
        <w:tc>
          <w:tcPr>
            <w:tcW w:w="6378" w:type="dxa"/>
            <w:tcBorders>
              <w:left w:val="single" w:sz="4" w:space="0" w:color="auto"/>
            </w:tcBorders>
          </w:tcPr>
          <w:p w14:paraId="2013AECF" w14:textId="2CF58A83" w:rsidR="002E3D4A" w:rsidRDefault="002E3D4A" w:rsidP="002E3D4A">
            <w:pPr>
              <w:pStyle w:val="FSCtMain"/>
              <w:tabs>
                <w:tab w:val="clear" w:pos="1134"/>
                <w:tab w:val="left" w:pos="0"/>
              </w:tabs>
              <w:ind w:left="27" w:hanging="27"/>
              <w:cnfStyle w:val="000000100000" w:firstRow="0" w:lastRow="0" w:firstColumn="0" w:lastColumn="0" w:oddVBand="0" w:evenVBand="0" w:oddHBand="1" w:evenHBand="0" w:firstRowFirstColumn="0" w:firstRowLastColumn="0" w:lastRowFirstColumn="0" w:lastRowLastColumn="0"/>
              <w:rPr>
                <w:szCs w:val="20"/>
                <w:lang w:val="en-AU"/>
              </w:rPr>
            </w:pPr>
            <w:r>
              <w:rPr>
                <w:szCs w:val="20"/>
              </w:rPr>
              <w:t xml:space="preserve">The </w:t>
            </w:r>
            <w:r w:rsidRPr="007053A3">
              <w:rPr>
                <w:szCs w:val="20"/>
              </w:rPr>
              <w:t xml:space="preserve">drafting in both Standard 2.9.1 and Standard 2.9.3 specifies the prohibition of </w:t>
            </w:r>
            <w:r w:rsidRPr="007053A3">
              <w:t>2’F</w:t>
            </w:r>
            <w:r>
              <w:t>L</w:t>
            </w:r>
            <w:r w:rsidRPr="007053A3">
              <w:t xml:space="preserve"> and LNnT with GOS and ITN i</w:t>
            </w:r>
            <w:r w:rsidRPr="007053A3">
              <w:rPr>
                <w:szCs w:val="20"/>
              </w:rPr>
              <w:t>s linked</w:t>
            </w:r>
            <w:r>
              <w:rPr>
                <w:szCs w:val="20"/>
              </w:rPr>
              <w:t xml:space="preserve"> to the</w:t>
            </w:r>
            <w:r w:rsidRPr="001D1563">
              <w:t xml:space="preserve"> </w:t>
            </w:r>
            <w:r w:rsidRPr="007053A3">
              <w:rPr>
                <w:i/>
              </w:rPr>
              <w:t xml:space="preserve">addition </w:t>
            </w:r>
            <w:r>
              <w:t xml:space="preserve">of added </w:t>
            </w:r>
            <w:r w:rsidRPr="00EC41A5">
              <w:t>2</w:t>
            </w:r>
            <w:r>
              <w:t>′</w:t>
            </w:r>
            <w:r w:rsidRPr="00C56598">
              <w:t>-</w:t>
            </w:r>
            <w:r w:rsidRPr="00EC41A5">
              <w:t>O</w:t>
            </w:r>
            <w:r w:rsidRPr="00C56598">
              <w:t>-</w:t>
            </w:r>
            <w:r>
              <w:t>f</w:t>
            </w:r>
            <w:r w:rsidRPr="00C56598">
              <w:t>ucosyllactose</w:t>
            </w:r>
            <w:r>
              <w:t xml:space="preserve">; or a combination of </w:t>
            </w:r>
            <w:r w:rsidRPr="00EC41A5">
              <w:t>2′</w:t>
            </w:r>
            <w:r w:rsidRPr="00323630">
              <w:rPr>
                <w:i/>
              </w:rPr>
              <w:t>-</w:t>
            </w:r>
            <w:r w:rsidRPr="00EC41A5">
              <w:t>O</w:t>
            </w:r>
            <w:r w:rsidRPr="00C56598">
              <w:t>-</w:t>
            </w:r>
            <w:r>
              <w:t>f</w:t>
            </w:r>
            <w:r w:rsidRPr="00C56598">
              <w:t>ucosyllactose</w:t>
            </w:r>
            <w:r>
              <w:t xml:space="preserve"> and l</w:t>
            </w:r>
            <w:r w:rsidRPr="00B307E9">
              <w:t>acto-</w:t>
            </w:r>
            <w:r w:rsidRPr="00EC41A5">
              <w:t>N</w:t>
            </w:r>
            <w:r>
              <w:t xml:space="preserve">-neotetraose. </w:t>
            </w:r>
          </w:p>
        </w:tc>
      </w:tr>
    </w:tbl>
    <w:p w14:paraId="7C92AFAE" w14:textId="265A1FC7" w:rsidR="00764CEC" w:rsidRDefault="00764CEC"/>
    <w:p w14:paraId="6C48D305" w14:textId="4B07F124" w:rsidR="00210F54" w:rsidRDefault="00210F54" w:rsidP="00F04584">
      <w:pPr>
        <w:pStyle w:val="FSTableTitle"/>
        <w:keepNext/>
        <w:keepLines/>
      </w:pPr>
      <w:r>
        <w:t xml:space="preserve">Table </w:t>
      </w:r>
      <w:r w:rsidR="0080109D">
        <w:t>3b</w:t>
      </w:r>
      <w:r>
        <w:t xml:space="preserve">: Labelling and other issues </w:t>
      </w:r>
    </w:p>
    <w:tbl>
      <w:tblPr>
        <w:tblStyle w:val="MediumShading1-Accent3"/>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6"/>
        <w:gridCol w:w="2522"/>
        <w:gridCol w:w="5720"/>
      </w:tblGrid>
      <w:tr w:rsidR="00764CEC" w14:paraId="577BAD18" w14:textId="41CD2F27" w:rsidTr="00D13D28">
        <w:trPr>
          <w:cnfStyle w:val="100000000000" w:firstRow="1" w:lastRow="0" w:firstColumn="0" w:lastColumn="0" w:oddVBand="0" w:evenVBand="0" w:oddHBand="0" w:evenHBand="0" w:firstRowFirstColumn="0" w:firstRowLastColumn="0" w:lastRowFirstColumn="0" w:lastRowLastColumn="0"/>
          <w:cantSplit/>
          <w:trHeight w:val="397"/>
          <w:tblHeader/>
        </w:trPr>
        <w:tc>
          <w:tcPr>
            <w:cnfStyle w:val="001000000000" w:firstRow="0" w:lastRow="0" w:firstColumn="1" w:lastColumn="0" w:oddVBand="0" w:evenVBand="0" w:oddHBand="0" w:evenHBand="0" w:firstRowFirstColumn="0" w:firstRowLastColumn="0" w:lastRowFirstColumn="0" w:lastRowLastColumn="0"/>
            <w:tcW w:w="5366" w:type="dxa"/>
            <w:vAlign w:val="center"/>
          </w:tcPr>
          <w:p w14:paraId="2C0BB06A" w14:textId="2ED6B76C" w:rsidR="00764CEC" w:rsidRPr="00A77CAB" w:rsidRDefault="00764CEC" w:rsidP="00CA7D43">
            <w:pPr>
              <w:pStyle w:val="FSTableText"/>
              <w:keepNext/>
              <w:keepLines/>
              <w:ind w:right="-815"/>
              <w:rPr>
                <w:sz w:val="22"/>
              </w:rPr>
            </w:pPr>
            <w:r w:rsidRPr="00A77CAB">
              <w:rPr>
                <w:sz w:val="22"/>
              </w:rPr>
              <w:t>Issue</w:t>
            </w:r>
          </w:p>
        </w:tc>
        <w:tc>
          <w:tcPr>
            <w:tcW w:w="2522" w:type="dxa"/>
            <w:vAlign w:val="center"/>
          </w:tcPr>
          <w:p w14:paraId="7796C754" w14:textId="59380327" w:rsidR="00764CEC" w:rsidRPr="00A77CAB" w:rsidRDefault="00764CEC" w:rsidP="00A77CAB">
            <w:pPr>
              <w:pStyle w:val="FSTableText"/>
              <w:keepNext/>
              <w:keepLines/>
              <w:cnfStyle w:val="100000000000" w:firstRow="1" w:lastRow="0" w:firstColumn="0" w:lastColumn="0" w:oddVBand="0" w:evenVBand="0" w:oddHBand="0" w:evenHBand="0" w:firstRowFirstColumn="0" w:firstRowLastColumn="0" w:lastRowFirstColumn="0" w:lastRowLastColumn="0"/>
              <w:rPr>
                <w:bCs w:val="0"/>
                <w:sz w:val="22"/>
              </w:rPr>
            </w:pPr>
            <w:r w:rsidRPr="00A77CAB">
              <w:rPr>
                <w:bCs w:val="0"/>
                <w:sz w:val="22"/>
              </w:rPr>
              <w:t xml:space="preserve">Raised by </w:t>
            </w:r>
          </w:p>
        </w:tc>
        <w:tc>
          <w:tcPr>
            <w:tcW w:w="5720" w:type="dxa"/>
            <w:vAlign w:val="center"/>
          </w:tcPr>
          <w:p w14:paraId="6E69CB63" w14:textId="4B090C5C" w:rsidR="00764CEC" w:rsidRPr="00A77CAB" w:rsidRDefault="00764CEC" w:rsidP="00A77CAB">
            <w:pPr>
              <w:pStyle w:val="FSTableText"/>
              <w:keepNext/>
              <w:keepLines/>
              <w:cnfStyle w:val="100000000000" w:firstRow="1" w:lastRow="0" w:firstColumn="0" w:lastColumn="0" w:oddVBand="0" w:evenVBand="0" w:oddHBand="0" w:evenHBand="0" w:firstRowFirstColumn="0" w:firstRowLastColumn="0" w:lastRowFirstColumn="0" w:lastRowLastColumn="0"/>
              <w:rPr>
                <w:bCs w:val="0"/>
                <w:sz w:val="22"/>
              </w:rPr>
            </w:pPr>
            <w:r w:rsidRPr="00A77CAB">
              <w:rPr>
                <w:bCs w:val="0"/>
                <w:sz w:val="22"/>
              </w:rPr>
              <w:t xml:space="preserve">FSANZ response </w:t>
            </w:r>
          </w:p>
        </w:tc>
      </w:tr>
      <w:tr w:rsidR="00764CEC" w14:paraId="2519D418" w14:textId="77777777" w:rsidTr="00D13D28">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3608" w:type="dxa"/>
            <w:gridSpan w:val="3"/>
            <w:vAlign w:val="center"/>
          </w:tcPr>
          <w:p w14:paraId="4DA74549" w14:textId="5D74FF78" w:rsidR="00764CEC" w:rsidRDefault="00764CEC" w:rsidP="00F04584">
            <w:pPr>
              <w:pStyle w:val="FSTableText"/>
              <w:keepNext/>
              <w:keepLines/>
            </w:pPr>
            <w:r w:rsidRPr="006B6723">
              <w:t>Generic approach vs prescribed name</w:t>
            </w:r>
          </w:p>
        </w:tc>
      </w:tr>
      <w:tr w:rsidR="00F55329" w14:paraId="3C07D6B7" w14:textId="77777777" w:rsidTr="00D13D2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324ADB11" w14:textId="2F46F1D7" w:rsidR="00F55329" w:rsidRPr="009A1736" w:rsidRDefault="00A77CAB" w:rsidP="00F04584">
            <w:pPr>
              <w:pStyle w:val="FSTableText"/>
              <w:keepNext/>
              <w:keepLines/>
              <w:spacing w:before="60"/>
              <w:rPr>
                <w:b w:val="0"/>
              </w:rPr>
            </w:pPr>
            <w:r>
              <w:rPr>
                <w:b w:val="0"/>
              </w:rPr>
              <w:t>S</w:t>
            </w:r>
            <w:r w:rsidR="00B657C8" w:rsidRPr="009A1736">
              <w:rPr>
                <w:b w:val="0"/>
              </w:rPr>
              <w:t xml:space="preserve">upports FSANZ’s decision to apply generic ingredient labelling requirements, rather </w:t>
            </w:r>
            <w:r w:rsidR="00F04584">
              <w:rPr>
                <w:b w:val="0"/>
              </w:rPr>
              <w:t xml:space="preserve">than </w:t>
            </w:r>
            <w:r w:rsidR="008925C2">
              <w:rPr>
                <w:b w:val="0"/>
              </w:rPr>
              <w:t>as proposed in the 1</w:t>
            </w:r>
            <w:r w:rsidR="008925C2" w:rsidRPr="000775A0">
              <w:rPr>
                <w:vertAlign w:val="superscript"/>
              </w:rPr>
              <w:t>st</w:t>
            </w:r>
            <w:r w:rsidR="008925C2">
              <w:rPr>
                <w:b w:val="0"/>
              </w:rPr>
              <w:t xml:space="preserve"> CFS. </w:t>
            </w:r>
          </w:p>
        </w:tc>
        <w:tc>
          <w:tcPr>
            <w:tcW w:w="2522" w:type="dxa"/>
            <w:tcBorders>
              <w:left w:val="single" w:sz="4" w:space="0" w:color="auto"/>
              <w:right w:val="single" w:sz="4" w:space="0" w:color="auto"/>
            </w:tcBorders>
          </w:tcPr>
          <w:p w14:paraId="7CC2D71D" w14:textId="514E0BE9" w:rsidR="00F55329" w:rsidRPr="000778D6" w:rsidRDefault="00B657C8" w:rsidP="00F04584">
            <w:pPr>
              <w:pStyle w:val="FSTableText"/>
              <w:keepNext/>
              <w:keepLines/>
              <w:spacing w:before="60"/>
              <w:cnfStyle w:val="000000010000" w:firstRow="0" w:lastRow="0" w:firstColumn="0" w:lastColumn="0" w:oddVBand="0" w:evenVBand="0" w:oddHBand="0" w:evenHBand="1" w:firstRowFirstColumn="0" w:firstRowLastColumn="0" w:lastRowFirstColumn="0" w:lastRowLastColumn="0"/>
            </w:pPr>
            <w:r>
              <w:t xml:space="preserve">INC, NZFS, NZFGC, AFGC  </w:t>
            </w:r>
          </w:p>
        </w:tc>
        <w:tc>
          <w:tcPr>
            <w:tcW w:w="5720" w:type="dxa"/>
            <w:tcBorders>
              <w:left w:val="single" w:sz="4" w:space="0" w:color="auto"/>
            </w:tcBorders>
          </w:tcPr>
          <w:p w14:paraId="59C37FBA" w14:textId="41DB061D" w:rsidR="00F55329" w:rsidRDefault="00B657C8" w:rsidP="00F04584">
            <w:pPr>
              <w:pStyle w:val="FSTableText"/>
              <w:keepNext/>
              <w:keepLines/>
              <w:spacing w:before="60"/>
              <w:cnfStyle w:val="000000010000" w:firstRow="0" w:lastRow="0" w:firstColumn="0" w:lastColumn="0" w:oddVBand="0" w:evenVBand="0" w:oddHBand="0" w:evenHBand="1" w:firstRowFirstColumn="0" w:firstRowLastColumn="0" w:lastRowFirstColumn="0" w:lastRowLastColumn="0"/>
            </w:pPr>
            <w:r>
              <w:t xml:space="preserve">Noted </w:t>
            </w:r>
          </w:p>
        </w:tc>
      </w:tr>
      <w:tr w:rsidR="00B657C8" w14:paraId="56AFDBD7" w14:textId="77777777" w:rsidTr="00D13D28">
        <w:trPr>
          <w:cnfStyle w:val="000000100000" w:firstRow="0" w:lastRow="0" w:firstColumn="0" w:lastColumn="0" w:oddVBand="0" w:evenVBand="0" w:oddHBand="1" w:evenHBand="0" w:firstRowFirstColumn="0" w:firstRowLastColumn="0" w:lastRowFirstColumn="0" w:lastRowLastColumn="0"/>
          <w:cantSplit/>
          <w:trHeight w:val="487"/>
        </w:trPr>
        <w:tc>
          <w:tcPr>
            <w:cnfStyle w:val="001000000000" w:firstRow="0" w:lastRow="0" w:firstColumn="1" w:lastColumn="0" w:oddVBand="0" w:evenVBand="0" w:oddHBand="0" w:evenHBand="0" w:firstRowFirstColumn="0" w:firstRowLastColumn="0" w:lastRowFirstColumn="0" w:lastRowLastColumn="0"/>
            <w:tcW w:w="13608" w:type="dxa"/>
            <w:gridSpan w:val="3"/>
            <w:vAlign w:val="center"/>
          </w:tcPr>
          <w:p w14:paraId="3D75439E" w14:textId="4F2D5F12" w:rsidR="00B657C8" w:rsidRDefault="00B657C8" w:rsidP="006533B5">
            <w:pPr>
              <w:pStyle w:val="FSTableText"/>
              <w:keepNext/>
              <w:keepLines/>
            </w:pPr>
            <w:r>
              <w:t>Prohibition on use of terms human milk oligosaccharide, HMO</w:t>
            </w:r>
            <w:r w:rsidR="00C62949">
              <w:t xml:space="preserve">, </w:t>
            </w:r>
            <w:r w:rsidR="00CA7D43">
              <w:t xml:space="preserve">HMiO, </w:t>
            </w:r>
            <w:r>
              <w:t>H</w:t>
            </w:r>
            <w:r w:rsidR="00CA7D43">
              <w:t>i</w:t>
            </w:r>
            <w:r>
              <w:t>MO</w:t>
            </w:r>
            <w:r w:rsidR="00210F54">
              <w:t xml:space="preserve"> etc</w:t>
            </w:r>
            <w:r w:rsidR="00C62949">
              <w:t>.</w:t>
            </w:r>
            <w:r w:rsidR="00210F54">
              <w:t xml:space="preserve"> </w:t>
            </w:r>
          </w:p>
        </w:tc>
      </w:tr>
      <w:tr w:rsidR="00B657C8" w14:paraId="7781502A" w14:textId="77777777" w:rsidTr="001E7CF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1C11C7FD" w14:textId="588F0DBD" w:rsidR="00702F10" w:rsidRDefault="00702F10" w:rsidP="001963A1">
            <w:pPr>
              <w:pStyle w:val="FSTableText"/>
              <w:spacing w:before="60"/>
              <w:rPr>
                <w:b w:val="0"/>
              </w:rPr>
            </w:pPr>
            <w:r>
              <w:rPr>
                <w:b w:val="0"/>
              </w:rPr>
              <w:t>While there is support for the prohibition of use of the terms, have c</w:t>
            </w:r>
            <w:r w:rsidR="00B657C8" w:rsidRPr="009A1736">
              <w:rPr>
                <w:b w:val="0"/>
              </w:rPr>
              <w:t>oncern</w:t>
            </w:r>
            <w:r>
              <w:rPr>
                <w:b w:val="0"/>
              </w:rPr>
              <w:t>s</w:t>
            </w:r>
            <w:r w:rsidR="00B657C8" w:rsidRPr="009A1736">
              <w:rPr>
                <w:b w:val="0"/>
              </w:rPr>
              <w:t xml:space="preserve"> that the change from F</w:t>
            </w:r>
            <w:r w:rsidR="00DE6282">
              <w:rPr>
                <w:b w:val="0"/>
              </w:rPr>
              <w:t>S</w:t>
            </w:r>
            <w:r w:rsidR="00B657C8" w:rsidRPr="009A1736">
              <w:rPr>
                <w:b w:val="0"/>
              </w:rPr>
              <w:t>ANZ prescribing the ingredient names between 1</w:t>
            </w:r>
            <w:r w:rsidR="00B657C8" w:rsidRPr="009A1736">
              <w:rPr>
                <w:b w:val="0"/>
                <w:vertAlign w:val="superscript"/>
              </w:rPr>
              <w:t>st</w:t>
            </w:r>
            <w:r w:rsidR="00B657C8" w:rsidRPr="009A1736">
              <w:rPr>
                <w:b w:val="0"/>
              </w:rPr>
              <w:t xml:space="preserve"> &amp; 2</w:t>
            </w:r>
            <w:r w:rsidR="00B657C8" w:rsidRPr="009A1736">
              <w:rPr>
                <w:b w:val="0"/>
                <w:vertAlign w:val="superscript"/>
              </w:rPr>
              <w:t>nd</w:t>
            </w:r>
            <w:r w:rsidR="00B657C8" w:rsidRPr="009A1736">
              <w:rPr>
                <w:b w:val="0"/>
              </w:rPr>
              <w:t xml:space="preserve"> CFS will enable use of generic term oligosaccharide</w:t>
            </w:r>
            <w:r>
              <w:rPr>
                <w:b w:val="0"/>
              </w:rPr>
              <w:t xml:space="preserve">. This could mean that any trademarks and implied claims in trademarks could be lodged on the generic terms. </w:t>
            </w:r>
          </w:p>
          <w:p w14:paraId="13362CD1" w14:textId="11CAAE43" w:rsidR="00B657C8" w:rsidRDefault="00702F10" w:rsidP="001963A1">
            <w:pPr>
              <w:pStyle w:val="FSTableText"/>
              <w:spacing w:before="60"/>
              <w:rPr>
                <w:b w:val="0"/>
              </w:rPr>
            </w:pPr>
            <w:r>
              <w:rPr>
                <w:b w:val="0"/>
              </w:rPr>
              <w:t xml:space="preserve">The change means that any claims or trademarks related to </w:t>
            </w:r>
            <w:r w:rsidR="005C4A15">
              <w:rPr>
                <w:b w:val="0"/>
              </w:rPr>
              <w:t xml:space="preserve">specific health outcomes associated with </w:t>
            </w:r>
            <w:r w:rsidR="005C4A15" w:rsidRPr="005C4A15">
              <w:rPr>
                <w:b w:val="0"/>
              </w:rPr>
              <w:t>2’-FL and LNnT</w:t>
            </w:r>
            <w:r w:rsidR="005C4A15">
              <w:rPr>
                <w:b w:val="0"/>
              </w:rPr>
              <w:t xml:space="preserve"> as specific substances </w:t>
            </w:r>
            <w:r>
              <w:rPr>
                <w:b w:val="0"/>
              </w:rPr>
              <w:t xml:space="preserve">could be linked ‘oligosaccharides’ not the specific substance and </w:t>
            </w:r>
            <w:r w:rsidR="005C4A15">
              <w:rPr>
                <w:b w:val="0"/>
              </w:rPr>
              <w:t xml:space="preserve">will </w:t>
            </w:r>
            <w:r w:rsidR="00B657C8" w:rsidRPr="009A1736">
              <w:rPr>
                <w:b w:val="0"/>
              </w:rPr>
              <w:t xml:space="preserve">not be </w:t>
            </w:r>
            <w:r w:rsidR="00884A37">
              <w:rPr>
                <w:b w:val="0"/>
              </w:rPr>
              <w:t xml:space="preserve">clearly </w:t>
            </w:r>
            <w:r w:rsidR="00B657C8" w:rsidRPr="009A1736">
              <w:rPr>
                <w:b w:val="0"/>
              </w:rPr>
              <w:t xml:space="preserve">visible to the consumer. </w:t>
            </w:r>
          </w:p>
          <w:p w14:paraId="7A0AC492" w14:textId="64790EB5" w:rsidR="00702F10" w:rsidRPr="009A1736" w:rsidRDefault="00702F10" w:rsidP="001963A1">
            <w:pPr>
              <w:pStyle w:val="FSTableText"/>
              <w:spacing w:before="60"/>
            </w:pPr>
          </w:p>
        </w:tc>
        <w:tc>
          <w:tcPr>
            <w:tcW w:w="2522" w:type="dxa"/>
            <w:tcBorders>
              <w:left w:val="single" w:sz="4" w:space="0" w:color="auto"/>
              <w:right w:val="single" w:sz="4" w:space="0" w:color="auto"/>
            </w:tcBorders>
          </w:tcPr>
          <w:p w14:paraId="0A240A75" w14:textId="11C29BFF" w:rsidR="00B657C8" w:rsidRPr="009A1736" w:rsidRDefault="00A71DEC" w:rsidP="001963A1">
            <w:pPr>
              <w:pStyle w:val="FSTableText"/>
              <w:spacing w:before="60"/>
              <w:cnfStyle w:val="000000010000" w:firstRow="0" w:lastRow="0" w:firstColumn="0" w:lastColumn="0" w:oddVBand="0" w:evenVBand="0" w:oddHBand="0" w:evenHBand="1" w:firstRowFirstColumn="0" w:firstRowLastColumn="0" w:lastRowFirstColumn="0" w:lastRowLastColumn="0"/>
            </w:pPr>
            <w:r>
              <w:t>NSWFA</w:t>
            </w:r>
            <w:r w:rsidR="00C5018B">
              <w:t xml:space="preserve">, QLD Health </w:t>
            </w:r>
            <w:r>
              <w:t xml:space="preserve"> </w:t>
            </w:r>
          </w:p>
        </w:tc>
        <w:tc>
          <w:tcPr>
            <w:tcW w:w="5720" w:type="dxa"/>
            <w:tcBorders>
              <w:left w:val="single" w:sz="4" w:space="0" w:color="auto"/>
            </w:tcBorders>
          </w:tcPr>
          <w:p w14:paraId="4C7F1C5B" w14:textId="76CB5E97" w:rsidR="00CA7D43" w:rsidRDefault="00CA7D43" w:rsidP="006533B5">
            <w:pPr>
              <w:keepNext/>
              <w:keepLines/>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As discussed in section </w:t>
            </w:r>
            <w:r w:rsidR="00884A37">
              <w:rPr>
                <w:sz w:val="20"/>
                <w:szCs w:val="20"/>
              </w:rPr>
              <w:t>2.3.4</w:t>
            </w:r>
            <w:r>
              <w:rPr>
                <w:sz w:val="20"/>
                <w:szCs w:val="20"/>
              </w:rPr>
              <w:t>, the change of approach at 2</w:t>
            </w:r>
            <w:r w:rsidRPr="00CA7D43">
              <w:rPr>
                <w:sz w:val="20"/>
                <w:szCs w:val="20"/>
                <w:vertAlign w:val="superscript"/>
              </w:rPr>
              <w:t>nd</w:t>
            </w:r>
            <w:r>
              <w:rPr>
                <w:sz w:val="20"/>
                <w:szCs w:val="20"/>
              </w:rPr>
              <w:t xml:space="preserve"> CFS to the generic labelling requirements (from prescription of the </w:t>
            </w:r>
            <w:r w:rsidR="00F04584" w:rsidRPr="009A1736">
              <w:rPr>
                <w:sz w:val="20"/>
                <w:szCs w:val="20"/>
              </w:rPr>
              <w:t>ingredient names ‘2’-fucosyllactose’ and ‘lacto-N-neotetraose’</w:t>
            </w:r>
            <w:r>
              <w:rPr>
                <w:sz w:val="20"/>
                <w:szCs w:val="20"/>
              </w:rPr>
              <w:t>)</w:t>
            </w:r>
            <w:r w:rsidR="00F04584" w:rsidRPr="009A1736">
              <w:rPr>
                <w:sz w:val="20"/>
                <w:szCs w:val="20"/>
              </w:rPr>
              <w:t xml:space="preserve"> </w:t>
            </w:r>
            <w:r>
              <w:rPr>
                <w:sz w:val="20"/>
                <w:szCs w:val="20"/>
              </w:rPr>
              <w:t xml:space="preserve">was </w:t>
            </w:r>
            <w:r w:rsidR="00702F10">
              <w:rPr>
                <w:sz w:val="20"/>
                <w:szCs w:val="20"/>
              </w:rPr>
              <w:t xml:space="preserve">in response </w:t>
            </w:r>
            <w:r>
              <w:rPr>
                <w:sz w:val="20"/>
                <w:szCs w:val="20"/>
              </w:rPr>
              <w:t>to</w:t>
            </w:r>
            <w:r w:rsidR="00884A37">
              <w:rPr>
                <w:sz w:val="20"/>
                <w:szCs w:val="20"/>
              </w:rPr>
              <w:t xml:space="preserve"> submitter concerns. The change </w:t>
            </w:r>
            <w:r>
              <w:rPr>
                <w:sz w:val="20"/>
                <w:szCs w:val="20"/>
              </w:rPr>
              <w:t>provide</w:t>
            </w:r>
            <w:r w:rsidR="00884A37">
              <w:rPr>
                <w:sz w:val="20"/>
                <w:szCs w:val="20"/>
              </w:rPr>
              <w:t>s</w:t>
            </w:r>
            <w:r>
              <w:rPr>
                <w:sz w:val="20"/>
                <w:szCs w:val="20"/>
              </w:rPr>
              <w:t xml:space="preserve"> some flexibility in</w:t>
            </w:r>
            <w:r w:rsidR="00884A37">
              <w:rPr>
                <w:sz w:val="20"/>
                <w:szCs w:val="20"/>
              </w:rPr>
              <w:t xml:space="preserve"> labelling and is</w:t>
            </w:r>
            <w:r>
              <w:rPr>
                <w:sz w:val="20"/>
                <w:szCs w:val="20"/>
              </w:rPr>
              <w:t xml:space="preserve"> consistent with the </w:t>
            </w:r>
            <w:r w:rsidR="00884A37">
              <w:rPr>
                <w:sz w:val="20"/>
                <w:szCs w:val="20"/>
              </w:rPr>
              <w:t xml:space="preserve">generic labelling requirements of the </w:t>
            </w:r>
            <w:r>
              <w:rPr>
                <w:sz w:val="20"/>
                <w:szCs w:val="20"/>
              </w:rPr>
              <w:t xml:space="preserve">Code. The change will </w:t>
            </w:r>
            <w:r w:rsidR="00F04584">
              <w:rPr>
                <w:sz w:val="20"/>
                <w:szCs w:val="20"/>
              </w:rPr>
              <w:t>enable the use of the</w:t>
            </w:r>
            <w:r w:rsidR="00884A37">
              <w:rPr>
                <w:sz w:val="20"/>
                <w:szCs w:val="20"/>
              </w:rPr>
              <w:t xml:space="preserve"> full chemical name, the </w:t>
            </w:r>
            <w:r w:rsidR="00F04584">
              <w:rPr>
                <w:sz w:val="20"/>
                <w:szCs w:val="20"/>
              </w:rPr>
              <w:t>acronym</w:t>
            </w:r>
            <w:r w:rsidR="00884A37">
              <w:rPr>
                <w:sz w:val="20"/>
                <w:szCs w:val="20"/>
              </w:rPr>
              <w:t>s</w:t>
            </w:r>
            <w:r w:rsidR="00F04584">
              <w:rPr>
                <w:sz w:val="20"/>
                <w:szCs w:val="20"/>
              </w:rPr>
              <w:t xml:space="preserve"> 2’FL and LNnT and the generic term oligosaccharide. </w:t>
            </w:r>
            <w:r w:rsidR="007A6357">
              <w:rPr>
                <w:sz w:val="20"/>
                <w:szCs w:val="20"/>
              </w:rPr>
              <w:t xml:space="preserve">This also </w:t>
            </w:r>
            <w:r w:rsidR="007A6357" w:rsidRPr="00CA7D43">
              <w:rPr>
                <w:sz w:val="20"/>
                <w:szCs w:val="20"/>
              </w:rPr>
              <w:t>aligns with the EU approach</w:t>
            </w:r>
            <w:r w:rsidR="007A6357">
              <w:rPr>
                <w:sz w:val="20"/>
                <w:szCs w:val="20"/>
              </w:rPr>
              <w:t xml:space="preserve">. </w:t>
            </w:r>
          </w:p>
          <w:p w14:paraId="1BAE7D93" w14:textId="6F7ED5FD" w:rsidR="00CA7D43" w:rsidRDefault="00CA7D43" w:rsidP="006533B5">
            <w:pPr>
              <w:keepNext/>
              <w:keepLines/>
              <w:cnfStyle w:val="000000010000" w:firstRow="0" w:lastRow="0" w:firstColumn="0" w:lastColumn="0" w:oddVBand="0" w:evenVBand="0" w:oddHBand="0" w:evenHBand="1" w:firstRowFirstColumn="0" w:firstRowLastColumn="0" w:lastRowFirstColumn="0" w:lastRowLastColumn="0"/>
              <w:rPr>
                <w:sz w:val="20"/>
                <w:szCs w:val="20"/>
              </w:rPr>
            </w:pPr>
          </w:p>
          <w:p w14:paraId="5F536821" w14:textId="1B9D42BB" w:rsidR="007A6357" w:rsidRDefault="00CA7D43" w:rsidP="006533B5">
            <w:pPr>
              <w:keepNext/>
              <w:keepLines/>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However if any health or </w:t>
            </w:r>
            <w:r w:rsidR="00F04584">
              <w:rPr>
                <w:sz w:val="20"/>
                <w:szCs w:val="20"/>
              </w:rPr>
              <w:t>nutri</w:t>
            </w:r>
            <w:r>
              <w:rPr>
                <w:sz w:val="20"/>
                <w:szCs w:val="20"/>
              </w:rPr>
              <w:t>tion</w:t>
            </w:r>
            <w:r w:rsidR="00F04584">
              <w:rPr>
                <w:sz w:val="20"/>
                <w:szCs w:val="20"/>
              </w:rPr>
              <w:t xml:space="preserve"> content </w:t>
            </w:r>
            <w:r w:rsidR="00F04584" w:rsidRPr="009A1736">
              <w:rPr>
                <w:sz w:val="20"/>
                <w:szCs w:val="20"/>
              </w:rPr>
              <w:t xml:space="preserve">claims </w:t>
            </w:r>
            <w:r>
              <w:rPr>
                <w:sz w:val="20"/>
                <w:szCs w:val="20"/>
              </w:rPr>
              <w:t xml:space="preserve">are to be made on </w:t>
            </w:r>
            <w:r w:rsidR="00F04584" w:rsidRPr="009A1736">
              <w:rPr>
                <w:sz w:val="20"/>
                <w:szCs w:val="20"/>
              </w:rPr>
              <w:t xml:space="preserve">FSFYC about </w:t>
            </w:r>
            <w:r w:rsidR="00884A37">
              <w:rPr>
                <w:sz w:val="20"/>
                <w:szCs w:val="20"/>
              </w:rPr>
              <w:t>2’FL and LNnT</w:t>
            </w:r>
            <w:r w:rsidR="007A6357">
              <w:rPr>
                <w:sz w:val="20"/>
                <w:szCs w:val="20"/>
              </w:rPr>
              <w:t>,</w:t>
            </w:r>
            <w:r w:rsidR="00884A37">
              <w:rPr>
                <w:sz w:val="20"/>
                <w:szCs w:val="20"/>
              </w:rPr>
              <w:t xml:space="preserve"> the claim conditions, </w:t>
            </w:r>
            <w:r w:rsidR="007A6357">
              <w:rPr>
                <w:sz w:val="20"/>
                <w:szCs w:val="20"/>
              </w:rPr>
              <w:t>(</w:t>
            </w:r>
            <w:r w:rsidR="00884A37">
              <w:rPr>
                <w:sz w:val="20"/>
                <w:szCs w:val="20"/>
              </w:rPr>
              <w:t>including substantiation requirements in Schedule 6, for general level health claims</w:t>
            </w:r>
            <w:r w:rsidR="007A6357">
              <w:rPr>
                <w:sz w:val="20"/>
                <w:szCs w:val="20"/>
              </w:rPr>
              <w:t>)</w:t>
            </w:r>
            <w:r w:rsidR="00884A37">
              <w:rPr>
                <w:sz w:val="20"/>
                <w:szCs w:val="20"/>
              </w:rPr>
              <w:t xml:space="preserve"> must be met for claims about ‘oligosaccharides’, </w:t>
            </w:r>
            <w:r w:rsidR="00884A37" w:rsidRPr="009A1736">
              <w:rPr>
                <w:sz w:val="20"/>
                <w:szCs w:val="20"/>
              </w:rPr>
              <w:t>‘2’-fucosyllactose’</w:t>
            </w:r>
            <w:r w:rsidR="00884A37">
              <w:rPr>
                <w:sz w:val="20"/>
                <w:szCs w:val="20"/>
              </w:rPr>
              <w:t xml:space="preserve"> and</w:t>
            </w:r>
            <w:r w:rsidR="00884A37" w:rsidRPr="009A1736">
              <w:rPr>
                <w:sz w:val="20"/>
                <w:szCs w:val="20"/>
              </w:rPr>
              <w:t xml:space="preserve"> ‘lacto-N-neotetraose’</w:t>
            </w:r>
            <w:r w:rsidR="00884A37">
              <w:rPr>
                <w:sz w:val="20"/>
                <w:szCs w:val="20"/>
              </w:rPr>
              <w:t xml:space="preserve">. </w:t>
            </w:r>
            <w:r w:rsidR="007A6357">
              <w:rPr>
                <w:sz w:val="20"/>
                <w:szCs w:val="20"/>
              </w:rPr>
              <w:t xml:space="preserve">FSANZ notes that Schedule 6 requires a description of the food or propoerty of the food which needs to be linked to the supporting evidence base. </w:t>
            </w:r>
          </w:p>
          <w:p w14:paraId="7B15BE6C" w14:textId="77777777" w:rsidR="007A6357" w:rsidRDefault="007A6357" w:rsidP="006533B5">
            <w:pPr>
              <w:keepNext/>
              <w:keepLines/>
              <w:cnfStyle w:val="000000010000" w:firstRow="0" w:lastRow="0" w:firstColumn="0" w:lastColumn="0" w:oddVBand="0" w:evenVBand="0" w:oddHBand="0" w:evenHBand="1" w:firstRowFirstColumn="0" w:firstRowLastColumn="0" w:lastRowFirstColumn="0" w:lastRowLastColumn="0"/>
              <w:rPr>
                <w:sz w:val="20"/>
                <w:szCs w:val="20"/>
              </w:rPr>
            </w:pPr>
          </w:p>
          <w:p w14:paraId="37C553EC" w14:textId="77777777" w:rsidR="00B657C8" w:rsidRDefault="007A6357" w:rsidP="006533B5">
            <w:pPr>
              <w:keepNext/>
              <w:keepLines/>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As noted below </w:t>
            </w:r>
            <w:r w:rsidRPr="00562618">
              <w:rPr>
                <w:sz w:val="20"/>
                <w:szCs w:val="20"/>
              </w:rPr>
              <w:t xml:space="preserve">The issue of trade marks is out of scope for this application. </w:t>
            </w:r>
            <w:r>
              <w:rPr>
                <w:sz w:val="20"/>
                <w:szCs w:val="20"/>
              </w:rPr>
              <w:t xml:space="preserve">Refer to discussion </w:t>
            </w:r>
            <w:r w:rsidRPr="00F47F2F">
              <w:rPr>
                <w:sz w:val="20"/>
                <w:szCs w:val="20"/>
              </w:rPr>
              <w:t xml:space="preserve">in section 2.3.4.5. </w:t>
            </w:r>
          </w:p>
          <w:p w14:paraId="23B1CFE5" w14:textId="404525BB" w:rsidR="007A6357" w:rsidRPr="00E01657" w:rsidRDefault="007A6357" w:rsidP="006533B5">
            <w:pPr>
              <w:keepNext/>
              <w:keepLines/>
              <w:cnfStyle w:val="000000010000" w:firstRow="0" w:lastRow="0" w:firstColumn="0" w:lastColumn="0" w:oddVBand="0" w:evenVBand="0" w:oddHBand="0" w:evenHBand="1" w:firstRowFirstColumn="0" w:firstRowLastColumn="0" w:lastRowFirstColumn="0" w:lastRowLastColumn="0"/>
              <w:rPr>
                <w:i/>
              </w:rPr>
            </w:pPr>
          </w:p>
        </w:tc>
      </w:tr>
      <w:tr w:rsidR="002E32B5" w14:paraId="302D2B40" w14:textId="77777777" w:rsidTr="001E7C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62DA3A2E" w14:textId="2FC7C453" w:rsidR="002E32B5" w:rsidRDefault="002E32B5" w:rsidP="002E32B5">
            <w:pPr>
              <w:pStyle w:val="FSTableText"/>
              <w:spacing w:before="60"/>
              <w:rPr>
                <w:b w:val="0"/>
              </w:rPr>
            </w:pPr>
            <w:r w:rsidRPr="001963A1">
              <w:rPr>
                <w:rFonts w:cs="Times New Roman"/>
                <w:b w:val="0"/>
              </w:rPr>
              <w:t>Do not support labelling prohibition because the</w:t>
            </w:r>
            <w:r>
              <w:rPr>
                <w:b w:val="0"/>
              </w:rPr>
              <w:t xml:space="preserve"> approach taken by FSANZ </w:t>
            </w:r>
            <w:r w:rsidRPr="00515F57">
              <w:rPr>
                <w:b w:val="0"/>
              </w:rPr>
              <w:t xml:space="preserve">is inadequate and not evidence based. </w:t>
            </w:r>
          </w:p>
          <w:p w14:paraId="6E1193B5" w14:textId="4E670FE9" w:rsidR="002E32B5" w:rsidRPr="009A1736" w:rsidRDefault="002E32B5" w:rsidP="002E32B5">
            <w:pPr>
              <w:pStyle w:val="FSTableText"/>
              <w:spacing w:before="60"/>
              <w:rPr>
                <w:b w:val="0"/>
              </w:rPr>
            </w:pPr>
          </w:p>
        </w:tc>
        <w:tc>
          <w:tcPr>
            <w:tcW w:w="2522" w:type="dxa"/>
            <w:tcBorders>
              <w:left w:val="single" w:sz="4" w:space="0" w:color="auto"/>
              <w:right w:val="single" w:sz="4" w:space="0" w:color="auto"/>
            </w:tcBorders>
          </w:tcPr>
          <w:p w14:paraId="335C7E0A" w14:textId="68F6DD10" w:rsidR="002E32B5" w:rsidRDefault="002E32B5" w:rsidP="002E32B5">
            <w:pPr>
              <w:pStyle w:val="FSTableText"/>
              <w:spacing w:before="60"/>
              <w:cnfStyle w:val="000000100000" w:firstRow="0" w:lastRow="0" w:firstColumn="0" w:lastColumn="0" w:oddVBand="0" w:evenVBand="0" w:oddHBand="1" w:evenHBand="0" w:firstRowFirstColumn="0" w:firstRowLastColumn="0" w:lastRowFirstColumn="0" w:lastRowLastColumn="0"/>
            </w:pPr>
            <w:r w:rsidRPr="001963A1">
              <w:rPr>
                <w:rFonts w:cs="Times New Roman"/>
                <w:bCs/>
              </w:rPr>
              <w:t>INC, NZFGC,</w:t>
            </w:r>
            <w:r w:rsidRPr="00562618">
              <w:t xml:space="preserve"> AFGC, DCANZ </w:t>
            </w:r>
          </w:p>
        </w:tc>
        <w:tc>
          <w:tcPr>
            <w:tcW w:w="5720" w:type="dxa"/>
            <w:tcBorders>
              <w:left w:val="single" w:sz="4" w:space="0" w:color="auto"/>
            </w:tcBorders>
          </w:tcPr>
          <w:p w14:paraId="41B87852" w14:textId="7B473DA2" w:rsidR="002E32B5" w:rsidRPr="00022C47" w:rsidRDefault="002E32B5" w:rsidP="002E32B5">
            <w:pPr>
              <w:spacing w:before="60"/>
              <w:cnfStyle w:val="000000100000" w:firstRow="0" w:lastRow="0" w:firstColumn="0" w:lastColumn="0" w:oddVBand="0" w:evenVBand="0" w:oddHBand="1" w:evenHBand="0" w:firstRowFirstColumn="0" w:firstRowLastColumn="0" w:lastRowFirstColumn="0" w:lastRowLastColumn="0"/>
              <w:rPr>
                <w:sz w:val="20"/>
                <w:highlight w:val="cyan"/>
              </w:rPr>
            </w:pPr>
            <w:r w:rsidRPr="00022C47">
              <w:rPr>
                <w:sz w:val="20"/>
              </w:rPr>
              <w:t>FSANZ’s decisions are based on the best available evidence</w:t>
            </w:r>
            <w:r>
              <w:rPr>
                <w:sz w:val="20"/>
              </w:rPr>
              <w:t xml:space="preserve">, noting </w:t>
            </w:r>
            <w:r w:rsidRPr="00022C47">
              <w:rPr>
                <w:sz w:val="20"/>
              </w:rPr>
              <w:t>there is often limited consumer research evidence available</w:t>
            </w:r>
            <w:r w:rsidR="00653399">
              <w:rPr>
                <w:sz w:val="20"/>
              </w:rPr>
              <w:t xml:space="preserve"> </w:t>
            </w:r>
            <w:r>
              <w:rPr>
                <w:sz w:val="20"/>
              </w:rPr>
              <w:t>relating to infant formula and FSFYC</w:t>
            </w:r>
            <w:r w:rsidRPr="00022C47">
              <w:rPr>
                <w:sz w:val="20"/>
              </w:rPr>
              <w:t>. In th</w:t>
            </w:r>
            <w:r>
              <w:rPr>
                <w:sz w:val="20"/>
              </w:rPr>
              <w:t xml:space="preserve">is </w:t>
            </w:r>
            <w:r w:rsidRPr="00022C47">
              <w:rPr>
                <w:sz w:val="20"/>
              </w:rPr>
              <w:t xml:space="preserve">case FSANZ has considered the Australian evidence, which is further supported by international research as discussed in section </w:t>
            </w:r>
            <w:r w:rsidRPr="00B60E5A">
              <w:rPr>
                <w:sz w:val="20"/>
              </w:rPr>
              <w:t>2.3.4.</w:t>
            </w:r>
            <w:r w:rsidRPr="00D836A4">
              <w:rPr>
                <w:sz w:val="20"/>
              </w:rPr>
              <w:t xml:space="preserve"> </w:t>
            </w:r>
          </w:p>
          <w:p w14:paraId="7E5C2610" w14:textId="02A284A8" w:rsidR="002E32B5" w:rsidRPr="009A1736" w:rsidRDefault="002E32B5" w:rsidP="002E32B5">
            <w:pPr>
              <w:spacing w:before="60"/>
              <w:cnfStyle w:val="000000100000" w:firstRow="0" w:lastRow="0" w:firstColumn="0" w:lastColumn="0" w:oddVBand="0" w:evenVBand="0" w:oddHBand="1" w:evenHBand="0" w:firstRowFirstColumn="0" w:firstRowLastColumn="0" w:lastRowFirstColumn="0" w:lastRowLastColumn="0"/>
              <w:rPr>
                <w:sz w:val="20"/>
                <w:szCs w:val="20"/>
              </w:rPr>
            </w:pPr>
          </w:p>
        </w:tc>
      </w:tr>
      <w:tr w:rsidR="002E32B5" w14:paraId="13611E22" w14:textId="77777777" w:rsidTr="001E7CF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1199BBD4" w14:textId="4A715F8D" w:rsidR="002E32B5" w:rsidRPr="009A1736" w:rsidRDefault="002E32B5" w:rsidP="002E32B5">
            <w:pPr>
              <w:pStyle w:val="FSTableText"/>
              <w:rPr>
                <w:b w:val="0"/>
              </w:rPr>
            </w:pPr>
            <w:r>
              <w:rPr>
                <w:b w:val="0"/>
              </w:rPr>
              <w:t xml:space="preserve">Could support the labelling restrictions (if an appropriate evidence base can be established to permit the use of these oligosaccharides).  </w:t>
            </w:r>
          </w:p>
        </w:tc>
        <w:tc>
          <w:tcPr>
            <w:tcW w:w="2522" w:type="dxa"/>
            <w:tcBorders>
              <w:left w:val="single" w:sz="4" w:space="0" w:color="auto"/>
              <w:right w:val="single" w:sz="4" w:space="0" w:color="auto"/>
            </w:tcBorders>
          </w:tcPr>
          <w:p w14:paraId="51C76278" w14:textId="1906F601" w:rsidR="002E32B5" w:rsidRPr="009A1736" w:rsidRDefault="002E32B5" w:rsidP="002E32B5">
            <w:pPr>
              <w:pStyle w:val="FSTableText"/>
              <w:cnfStyle w:val="000000010000" w:firstRow="0" w:lastRow="0" w:firstColumn="0" w:lastColumn="0" w:oddVBand="0" w:evenVBand="0" w:oddHBand="0" w:evenHBand="1" w:firstRowFirstColumn="0" w:firstRowLastColumn="0" w:lastRowFirstColumn="0" w:lastRowLastColumn="0"/>
            </w:pPr>
            <w:r>
              <w:t xml:space="preserve">Vic Govt, WA DoH, NSWFA </w:t>
            </w:r>
          </w:p>
        </w:tc>
        <w:tc>
          <w:tcPr>
            <w:tcW w:w="5720" w:type="dxa"/>
            <w:tcBorders>
              <w:left w:val="single" w:sz="4" w:space="0" w:color="auto"/>
            </w:tcBorders>
          </w:tcPr>
          <w:p w14:paraId="6919871C" w14:textId="1A191329" w:rsidR="002E32B5" w:rsidRPr="009A1736" w:rsidRDefault="002E32B5" w:rsidP="002E32B5">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Noted </w:t>
            </w:r>
          </w:p>
        </w:tc>
      </w:tr>
      <w:tr w:rsidR="002E32B5" w14:paraId="4D08208E" w14:textId="77777777" w:rsidTr="001E7C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27D2851B" w14:textId="08FB1517" w:rsidR="002E32B5" w:rsidRPr="00B657C8" w:rsidRDefault="002E32B5" w:rsidP="002E32B5">
            <w:pPr>
              <w:pStyle w:val="FSTableText"/>
              <w:spacing w:before="60"/>
              <w:rPr>
                <w:b w:val="0"/>
              </w:rPr>
            </w:pPr>
            <w:r w:rsidRPr="00B657C8">
              <w:rPr>
                <w:b w:val="0"/>
              </w:rPr>
              <w:t>Do not support the labelling restrictions for the following reasons:</w:t>
            </w:r>
          </w:p>
          <w:p w14:paraId="524915C1" w14:textId="77777777" w:rsidR="002E32B5" w:rsidRDefault="002E32B5" w:rsidP="002E32B5">
            <w:pPr>
              <w:pStyle w:val="FSTableText"/>
              <w:numPr>
                <w:ilvl w:val="0"/>
                <w:numId w:val="15"/>
              </w:numPr>
              <w:ind w:left="306" w:hanging="306"/>
              <w:rPr>
                <w:b w:val="0"/>
              </w:rPr>
            </w:pPr>
            <w:r>
              <w:rPr>
                <w:b w:val="0"/>
              </w:rPr>
              <w:t>T</w:t>
            </w:r>
            <w:r w:rsidRPr="00B657C8">
              <w:rPr>
                <w:b w:val="0"/>
              </w:rPr>
              <w:t>he</w:t>
            </w:r>
            <w:r>
              <w:rPr>
                <w:b w:val="0"/>
              </w:rPr>
              <w:t xml:space="preserve">se terms reflect the </w:t>
            </w:r>
            <w:r w:rsidRPr="00B657C8">
              <w:rPr>
                <w:b w:val="0"/>
              </w:rPr>
              <w:t>common</w:t>
            </w:r>
            <w:r>
              <w:rPr>
                <w:b w:val="0"/>
              </w:rPr>
              <w:t xml:space="preserve"> name a</w:t>
            </w:r>
            <w:r w:rsidRPr="00B657C8">
              <w:rPr>
                <w:b w:val="0"/>
              </w:rPr>
              <w:t xml:space="preserve">nd true nature of the ingredient </w:t>
            </w:r>
          </w:p>
          <w:p w14:paraId="58D468C0" w14:textId="77777777" w:rsidR="002E32B5" w:rsidRDefault="002E32B5" w:rsidP="002E32B5">
            <w:pPr>
              <w:pStyle w:val="FSTableText"/>
              <w:numPr>
                <w:ilvl w:val="0"/>
                <w:numId w:val="15"/>
              </w:numPr>
              <w:ind w:left="306" w:hanging="306"/>
              <w:rPr>
                <w:b w:val="0"/>
              </w:rPr>
            </w:pPr>
            <w:r w:rsidRPr="00B657C8">
              <w:rPr>
                <w:b w:val="0"/>
              </w:rPr>
              <w:t>The</w:t>
            </w:r>
            <w:r>
              <w:rPr>
                <w:b w:val="0"/>
              </w:rPr>
              <w:t xml:space="preserve">y </w:t>
            </w:r>
            <w:r w:rsidRPr="00B657C8">
              <w:rPr>
                <w:b w:val="0"/>
              </w:rPr>
              <w:t>are structurally identical to the oligosaccharides (2’FL and LNnT) in human milk and should be able to be listed as such.</w:t>
            </w:r>
          </w:p>
          <w:p w14:paraId="67C36D35" w14:textId="77777777" w:rsidR="002E32B5" w:rsidRDefault="002E32B5" w:rsidP="002E32B5">
            <w:pPr>
              <w:pStyle w:val="FSTableText"/>
              <w:numPr>
                <w:ilvl w:val="0"/>
                <w:numId w:val="15"/>
              </w:numPr>
              <w:ind w:left="306" w:hanging="306"/>
              <w:rPr>
                <w:b w:val="0"/>
              </w:rPr>
            </w:pPr>
            <w:r>
              <w:rPr>
                <w:b w:val="0"/>
              </w:rPr>
              <w:t xml:space="preserve">The terms have been </w:t>
            </w:r>
            <w:r w:rsidRPr="00B657C8">
              <w:rPr>
                <w:b w:val="0"/>
              </w:rPr>
              <w:t>use</w:t>
            </w:r>
            <w:r>
              <w:rPr>
                <w:b w:val="0"/>
              </w:rPr>
              <w:t>d</w:t>
            </w:r>
            <w:r w:rsidRPr="00B657C8">
              <w:rPr>
                <w:b w:val="0"/>
              </w:rPr>
              <w:t xml:space="preserve"> by the scientific community for 20+ years. </w:t>
            </w:r>
          </w:p>
          <w:p w14:paraId="4F4173D4" w14:textId="77777777" w:rsidR="002E32B5" w:rsidRDefault="002E32B5" w:rsidP="002E32B5">
            <w:pPr>
              <w:pStyle w:val="FSTableText"/>
              <w:numPr>
                <w:ilvl w:val="0"/>
                <w:numId w:val="15"/>
              </w:numPr>
              <w:ind w:left="306" w:hanging="306"/>
              <w:rPr>
                <w:b w:val="0"/>
              </w:rPr>
            </w:pPr>
            <w:r w:rsidRPr="00B657C8">
              <w:rPr>
                <w:b w:val="0"/>
              </w:rPr>
              <w:t>Th</w:t>
            </w:r>
            <w:r>
              <w:rPr>
                <w:b w:val="0"/>
              </w:rPr>
              <w:t xml:space="preserve">e </w:t>
            </w:r>
            <w:r w:rsidRPr="00B657C8">
              <w:rPr>
                <w:b w:val="0"/>
              </w:rPr>
              <w:t>prohibition is inconsistent with existing conditions for other oligosaccharides which are labelled in accordance to Standards 1.2.4, 1.2.8 and relevant product standards 2.9.1 and 2.9.3.</w:t>
            </w:r>
          </w:p>
          <w:p w14:paraId="1D05633C" w14:textId="77777777" w:rsidR="002E32B5" w:rsidRPr="00D13D28" w:rsidRDefault="002E32B5" w:rsidP="002E32B5">
            <w:pPr>
              <w:pStyle w:val="FSTableText"/>
              <w:numPr>
                <w:ilvl w:val="0"/>
                <w:numId w:val="15"/>
              </w:numPr>
              <w:ind w:left="306" w:hanging="306"/>
              <w:rPr>
                <w:b w:val="0"/>
              </w:rPr>
            </w:pPr>
            <w:r>
              <w:rPr>
                <w:b w:val="0"/>
              </w:rPr>
              <w:t>There are already existing prohibitions in Std 2.9.1</w:t>
            </w:r>
          </w:p>
          <w:p w14:paraId="76568ECD" w14:textId="72BCB8C1" w:rsidR="002E32B5" w:rsidRDefault="002E32B5" w:rsidP="002E32B5">
            <w:pPr>
              <w:pStyle w:val="FSTableText"/>
              <w:numPr>
                <w:ilvl w:val="0"/>
                <w:numId w:val="15"/>
              </w:numPr>
              <w:ind w:left="306" w:hanging="306"/>
              <w:rPr>
                <w:b w:val="0"/>
              </w:rPr>
            </w:pPr>
            <w:r w:rsidRPr="00A71DEC">
              <w:rPr>
                <w:b w:val="0"/>
              </w:rPr>
              <w:t>These terms are currently used on product labels in both the EU and the USA, where regulations allow for the use of these terms on label.</w:t>
            </w:r>
          </w:p>
        </w:tc>
        <w:tc>
          <w:tcPr>
            <w:tcW w:w="2522" w:type="dxa"/>
            <w:tcBorders>
              <w:left w:val="single" w:sz="4" w:space="0" w:color="auto"/>
              <w:right w:val="single" w:sz="4" w:space="0" w:color="auto"/>
            </w:tcBorders>
          </w:tcPr>
          <w:p w14:paraId="71B133EC" w14:textId="4D08BAA6" w:rsidR="002E32B5" w:rsidRDefault="002E32B5" w:rsidP="002E32B5">
            <w:pPr>
              <w:pStyle w:val="FSTableText"/>
              <w:cnfStyle w:val="000000100000" w:firstRow="0" w:lastRow="0" w:firstColumn="0" w:lastColumn="0" w:oddVBand="0" w:evenVBand="0" w:oddHBand="1" w:evenHBand="0" w:firstRowFirstColumn="0" w:firstRowLastColumn="0" w:lastRowFirstColumn="0" w:lastRowLastColumn="0"/>
            </w:pPr>
            <w:r>
              <w:t>Glycom, Abbott, INC, DGC, Nestle</w:t>
            </w:r>
          </w:p>
        </w:tc>
        <w:tc>
          <w:tcPr>
            <w:tcW w:w="5720" w:type="dxa"/>
            <w:tcBorders>
              <w:left w:val="single" w:sz="4" w:space="0" w:color="auto"/>
            </w:tcBorders>
          </w:tcPr>
          <w:p w14:paraId="469FE151" w14:textId="77777777" w:rsidR="002E32B5" w:rsidRPr="00D13D28" w:rsidRDefault="002E32B5" w:rsidP="002E32B5">
            <w:pPr>
              <w:spacing w:before="60"/>
              <w:cnfStyle w:val="000000100000" w:firstRow="0" w:lastRow="0" w:firstColumn="0" w:lastColumn="0" w:oddVBand="0" w:evenVBand="0" w:oddHBand="1" w:evenHBand="0" w:firstRowFirstColumn="0" w:firstRowLastColumn="0" w:lastRowFirstColumn="0" w:lastRowLastColumn="0"/>
              <w:rPr>
                <w:sz w:val="20"/>
                <w:szCs w:val="20"/>
              </w:rPr>
            </w:pPr>
            <w:r w:rsidRPr="00D13D28">
              <w:rPr>
                <w:sz w:val="20"/>
                <w:szCs w:val="20"/>
              </w:rPr>
              <w:t xml:space="preserve">The terms ‘2’-fucosyllactose’ and ‘lacto-N-neotetraose’ reflect the true nature of the ingredients and pose no conflict with current Code prohibitions. FSANZ notes terms such as ‘oligosaccharides’, which are part of the ingredient name desired by industry, would not be prohibited.  </w:t>
            </w:r>
          </w:p>
          <w:p w14:paraId="7E93C2CE" w14:textId="77777777" w:rsidR="002E32B5" w:rsidRPr="00D13D28" w:rsidRDefault="002E32B5" w:rsidP="002E32B5">
            <w:pPr>
              <w:cnfStyle w:val="000000100000" w:firstRow="0" w:lastRow="0" w:firstColumn="0" w:lastColumn="0" w:oddVBand="0" w:evenVBand="0" w:oddHBand="1" w:evenHBand="0" w:firstRowFirstColumn="0" w:firstRowLastColumn="0" w:lastRowFirstColumn="0" w:lastRowLastColumn="0"/>
              <w:rPr>
                <w:sz w:val="20"/>
                <w:szCs w:val="20"/>
              </w:rPr>
            </w:pPr>
          </w:p>
          <w:p w14:paraId="05A545A3" w14:textId="77777777" w:rsidR="002E32B5" w:rsidRPr="00D13D28" w:rsidRDefault="002E32B5" w:rsidP="002E32B5">
            <w:pPr>
              <w:cnfStyle w:val="000000100000" w:firstRow="0" w:lastRow="0" w:firstColumn="0" w:lastColumn="0" w:oddVBand="0" w:evenVBand="0" w:oddHBand="1" w:evenHBand="0" w:firstRowFirstColumn="0" w:firstRowLastColumn="0" w:lastRowFirstColumn="0" w:lastRowLastColumn="0"/>
              <w:rPr>
                <w:sz w:val="20"/>
                <w:szCs w:val="20"/>
              </w:rPr>
            </w:pPr>
            <w:r w:rsidRPr="00D13D28">
              <w:rPr>
                <w:sz w:val="20"/>
                <w:szCs w:val="20"/>
              </w:rPr>
              <w:t xml:space="preserve">The proposed requirements for 2’-FL and LNnT differ to existing conditions for other oligosaccharides (inulin type fructans and GOS), as the latter are not present in breast milk (not ‘human milk oligosaccharides’) and terminology referring to human milk contravenes policy guidance and Code requirements.  </w:t>
            </w:r>
          </w:p>
          <w:p w14:paraId="306D27CD" w14:textId="77777777" w:rsidR="002E32B5" w:rsidRPr="00D13D28" w:rsidRDefault="002E32B5" w:rsidP="002E32B5">
            <w:pPr>
              <w:cnfStyle w:val="000000100000" w:firstRow="0" w:lastRow="0" w:firstColumn="0" w:lastColumn="0" w:oddVBand="0" w:evenVBand="0" w:oddHBand="1" w:evenHBand="0" w:firstRowFirstColumn="0" w:firstRowLastColumn="0" w:lastRowFirstColumn="0" w:lastRowLastColumn="0"/>
              <w:rPr>
                <w:sz w:val="20"/>
                <w:szCs w:val="20"/>
              </w:rPr>
            </w:pPr>
          </w:p>
          <w:p w14:paraId="669CB60B" w14:textId="77777777" w:rsidR="002E32B5" w:rsidRPr="00D13D28" w:rsidRDefault="002E32B5" w:rsidP="002E32B5">
            <w:pPr>
              <w:pStyle w:val="FSTableText"/>
              <w:cnfStyle w:val="000000100000" w:firstRow="0" w:lastRow="0" w:firstColumn="0" w:lastColumn="0" w:oddVBand="0" w:evenVBand="0" w:oddHBand="1" w:evenHBand="0" w:firstRowFirstColumn="0" w:firstRowLastColumn="0" w:lastRowFirstColumn="0" w:lastRowLastColumn="0"/>
            </w:pPr>
            <w:r w:rsidRPr="00D13D28">
              <w:t xml:space="preserve">FSANZ notes there are diverging stakeholder views about whether existing prohibitions in section 2.9.1—24 are sufficient. Given the uncertainty, FSANZ considers the specific prohibition provides clarity. </w:t>
            </w:r>
          </w:p>
          <w:p w14:paraId="2500A448" w14:textId="77777777" w:rsidR="002E32B5" w:rsidRPr="00D13D28" w:rsidRDefault="002E32B5" w:rsidP="002E32B5">
            <w:pPr>
              <w:pStyle w:val="FSTableText"/>
              <w:cnfStyle w:val="000000100000" w:firstRow="0" w:lastRow="0" w:firstColumn="0" w:lastColumn="0" w:oddVBand="0" w:evenVBand="0" w:oddHBand="1" w:evenHBand="0" w:firstRowFirstColumn="0" w:firstRowLastColumn="0" w:lastRowFirstColumn="0" w:lastRowLastColumn="0"/>
            </w:pPr>
          </w:p>
          <w:p w14:paraId="3621E2D7" w14:textId="3745B9F1" w:rsidR="002E32B5" w:rsidRDefault="002E32B5" w:rsidP="002E32B5">
            <w:pPr>
              <w:cnfStyle w:val="000000100000" w:firstRow="0" w:lastRow="0" w:firstColumn="0" w:lastColumn="0" w:oddVBand="0" w:evenVBand="0" w:oddHBand="1" w:evenHBand="0" w:firstRowFirstColumn="0" w:firstRowLastColumn="0" w:lastRowFirstColumn="0" w:lastRowLastColumn="0"/>
              <w:rPr>
                <w:sz w:val="20"/>
                <w:szCs w:val="20"/>
              </w:rPr>
            </w:pPr>
            <w:r w:rsidRPr="00D13D28">
              <w:rPr>
                <w:sz w:val="20"/>
                <w:szCs w:val="20"/>
              </w:rPr>
              <w:t xml:space="preserve">FSANZ notes there are different permissions and restrictions for labelling in different countries. Refer to section 1.3.2 regarding international permissions. </w:t>
            </w:r>
          </w:p>
        </w:tc>
      </w:tr>
      <w:tr w:rsidR="002E32B5" w14:paraId="39DE1F88" w14:textId="77777777" w:rsidTr="00D13D2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4EA4EDC8" w14:textId="46C49AC1" w:rsidR="002E32B5" w:rsidRPr="00D13D28" w:rsidRDefault="002E32B5" w:rsidP="002E32B5">
            <w:pPr>
              <w:spacing w:before="60"/>
              <w:rPr>
                <w:b w:val="0"/>
                <w:sz w:val="20"/>
                <w:szCs w:val="20"/>
              </w:rPr>
            </w:pPr>
            <w:r w:rsidRPr="00D13D28">
              <w:rPr>
                <w:b w:val="0"/>
                <w:sz w:val="20"/>
                <w:szCs w:val="20"/>
              </w:rPr>
              <w:t xml:space="preserve">Propose an approach consistent with the First Review Report for Proposal P306 for all oligosaccharides: “use the terms inulin-derived substances and GOS to clarify the compositional permissions, but do not prescribe the terms to be used in labelling. This approach allows manufacturers to use the terms of their choice on labels thus promoting consistency with the varying international terms used for inulin-derived substances.” </w:t>
            </w:r>
          </w:p>
          <w:p w14:paraId="76067702" w14:textId="370179A8" w:rsidR="002E32B5" w:rsidRPr="00D13D28" w:rsidRDefault="002E32B5" w:rsidP="002E32B5">
            <w:pPr>
              <w:pStyle w:val="FSTableText"/>
              <w:spacing w:before="60"/>
              <w:rPr>
                <w:b w:val="0"/>
              </w:rPr>
            </w:pPr>
          </w:p>
        </w:tc>
        <w:tc>
          <w:tcPr>
            <w:tcW w:w="2522" w:type="dxa"/>
            <w:tcBorders>
              <w:left w:val="single" w:sz="4" w:space="0" w:color="auto"/>
              <w:right w:val="single" w:sz="4" w:space="0" w:color="auto"/>
            </w:tcBorders>
          </w:tcPr>
          <w:p w14:paraId="71107412" w14:textId="28430400" w:rsidR="002E32B5" w:rsidRPr="00D13D28" w:rsidRDefault="002E32B5" w:rsidP="002E32B5">
            <w:pPr>
              <w:pStyle w:val="FSTableText"/>
              <w:spacing w:before="60"/>
              <w:cnfStyle w:val="000000010000" w:firstRow="0" w:lastRow="0" w:firstColumn="0" w:lastColumn="0" w:oddVBand="0" w:evenVBand="0" w:oddHBand="0" w:evenHBand="1" w:firstRowFirstColumn="0" w:firstRowLastColumn="0" w:lastRowFirstColumn="0" w:lastRowLastColumn="0"/>
            </w:pPr>
            <w:r w:rsidRPr="00D13D28">
              <w:t xml:space="preserve">Danone </w:t>
            </w:r>
          </w:p>
        </w:tc>
        <w:tc>
          <w:tcPr>
            <w:tcW w:w="5720" w:type="dxa"/>
            <w:tcBorders>
              <w:left w:val="single" w:sz="4" w:space="0" w:color="auto"/>
            </w:tcBorders>
          </w:tcPr>
          <w:p w14:paraId="1F41C98E" w14:textId="2A041241" w:rsidR="002E32B5" w:rsidRPr="00D13D28" w:rsidRDefault="002E32B5" w:rsidP="002E32B5">
            <w:pPr>
              <w:spacing w:before="60"/>
              <w:cnfStyle w:val="000000010000" w:firstRow="0" w:lastRow="0" w:firstColumn="0" w:lastColumn="0" w:oddVBand="0" w:evenVBand="0" w:oddHBand="0" w:evenHBand="1" w:firstRowFirstColumn="0" w:firstRowLastColumn="0" w:lastRowFirstColumn="0" w:lastRowLastColumn="0"/>
              <w:rPr>
                <w:sz w:val="20"/>
                <w:szCs w:val="20"/>
              </w:rPr>
            </w:pPr>
            <w:r w:rsidRPr="00D13D28">
              <w:rPr>
                <w:sz w:val="20"/>
                <w:szCs w:val="20"/>
              </w:rPr>
              <w:t xml:space="preserve">Refer to response above. However, FSANZ considers it inappropriate to apply the same labelling approach to 2′-FL and LNnT, given these substances are present in </w:t>
            </w:r>
            <w:r w:rsidR="00A9269B">
              <w:rPr>
                <w:sz w:val="20"/>
                <w:szCs w:val="20"/>
              </w:rPr>
              <w:t>breast milk</w:t>
            </w:r>
            <w:r w:rsidRPr="00D13D28">
              <w:rPr>
                <w:sz w:val="20"/>
                <w:szCs w:val="20"/>
              </w:rPr>
              <w:t xml:space="preserve"> and there are Code requirements prohibiting such representations in infant formula products. Further, the rationale for prohibiting specific terminology on FSFYC labels is described in section 2.3.4.3.</w:t>
            </w:r>
          </w:p>
        </w:tc>
      </w:tr>
      <w:tr w:rsidR="002E32B5" w14:paraId="34447B7E" w14:textId="77777777" w:rsidTr="00D13D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3FEA0E2A" w14:textId="3260F207" w:rsidR="002E32B5" w:rsidRDefault="002E32B5" w:rsidP="002E32B5">
            <w:pPr>
              <w:autoSpaceDE w:val="0"/>
              <w:autoSpaceDN w:val="0"/>
              <w:adjustRightInd w:val="0"/>
              <w:rPr>
                <w:rFonts w:cs="Arial"/>
                <w:b w:val="0"/>
                <w:color w:val="000000"/>
                <w:sz w:val="20"/>
              </w:rPr>
            </w:pPr>
            <w:r>
              <w:rPr>
                <w:rFonts w:cs="Arial"/>
                <w:b w:val="0"/>
                <w:color w:val="000000"/>
                <w:sz w:val="20"/>
              </w:rPr>
              <w:t>T</w:t>
            </w:r>
            <w:r w:rsidRPr="00BD7879">
              <w:rPr>
                <w:rFonts w:cs="Arial"/>
                <w:b w:val="0"/>
                <w:color w:val="000000"/>
                <w:sz w:val="20"/>
              </w:rPr>
              <w:t>here is a need for the consumer to understand the ‘common name’ and true nature of the ingredient. Allowin</w:t>
            </w:r>
            <w:r>
              <w:rPr>
                <w:rFonts w:cs="Arial"/>
                <w:b w:val="0"/>
                <w:color w:val="000000"/>
                <w:sz w:val="20"/>
              </w:rPr>
              <w:t>g</w:t>
            </w:r>
            <w:r w:rsidRPr="00BD7879">
              <w:rPr>
                <w:rFonts w:cs="Arial"/>
                <w:b w:val="0"/>
                <w:color w:val="000000"/>
                <w:sz w:val="20"/>
              </w:rPr>
              <w:t xml:space="preserve"> the substances to be labelled as ‘human milk identical’ align</w:t>
            </w:r>
            <w:r>
              <w:rPr>
                <w:rFonts w:cs="Arial"/>
                <w:b w:val="0"/>
                <w:color w:val="000000"/>
                <w:sz w:val="20"/>
              </w:rPr>
              <w:t>s</w:t>
            </w:r>
            <w:r w:rsidRPr="00BD7879">
              <w:rPr>
                <w:rFonts w:cs="Arial"/>
                <w:b w:val="0"/>
                <w:color w:val="000000"/>
                <w:sz w:val="20"/>
              </w:rPr>
              <w:t xml:space="preserve"> with the requirements set out in ‘High Order Policy principle 1(b) in the Policy Guidelines on Regulation of Infant Formula Products’</w:t>
            </w:r>
            <w:r>
              <w:rPr>
                <w:rFonts w:cs="Arial"/>
                <w:b w:val="0"/>
                <w:color w:val="000000"/>
                <w:sz w:val="20"/>
              </w:rPr>
              <w:t>.</w:t>
            </w:r>
          </w:p>
          <w:p w14:paraId="112E273E" w14:textId="77777777" w:rsidR="002E32B5" w:rsidRPr="00B657C8" w:rsidRDefault="002E32B5" w:rsidP="002E32B5">
            <w:pPr>
              <w:autoSpaceDE w:val="0"/>
              <w:autoSpaceDN w:val="0"/>
              <w:adjustRightInd w:val="0"/>
              <w:rPr>
                <w:bCs w:val="0"/>
              </w:rPr>
            </w:pPr>
          </w:p>
          <w:p w14:paraId="5D3DDC8E" w14:textId="32A44207" w:rsidR="002E32B5" w:rsidRDefault="002E32B5" w:rsidP="002E32B5">
            <w:pPr>
              <w:pStyle w:val="FSTableText"/>
              <w:rPr>
                <w:b w:val="0"/>
              </w:rPr>
            </w:pPr>
            <w:r w:rsidRPr="00A71DEC">
              <w:rPr>
                <w:b w:val="0"/>
              </w:rPr>
              <w:t xml:space="preserve">2′-FL and LNnT are </w:t>
            </w:r>
            <w:r>
              <w:rPr>
                <w:b w:val="0"/>
              </w:rPr>
              <w:t xml:space="preserve">more </w:t>
            </w:r>
            <w:r w:rsidRPr="00A71DEC">
              <w:rPr>
                <w:b w:val="0"/>
              </w:rPr>
              <w:t>complex structures compared to the linear structures of</w:t>
            </w:r>
            <w:r>
              <w:rPr>
                <w:b w:val="0"/>
              </w:rPr>
              <w:t xml:space="preserve"> plant based oligosaccharides (</w:t>
            </w:r>
            <w:r w:rsidRPr="00A71DEC">
              <w:rPr>
                <w:b w:val="0"/>
              </w:rPr>
              <w:t>FOS and GOS</w:t>
            </w:r>
            <w:r>
              <w:rPr>
                <w:b w:val="0"/>
              </w:rPr>
              <w:t xml:space="preserve">) thus they should be clearly differentiated. </w:t>
            </w:r>
            <w:r w:rsidRPr="00A71DEC">
              <w:rPr>
                <w:b w:val="0"/>
              </w:rPr>
              <w:t xml:space="preserve"> </w:t>
            </w:r>
          </w:p>
        </w:tc>
        <w:tc>
          <w:tcPr>
            <w:tcW w:w="2522" w:type="dxa"/>
            <w:tcBorders>
              <w:left w:val="single" w:sz="4" w:space="0" w:color="auto"/>
              <w:right w:val="single" w:sz="4" w:space="0" w:color="auto"/>
            </w:tcBorders>
          </w:tcPr>
          <w:p w14:paraId="6285CB7A" w14:textId="77777777" w:rsidR="002E32B5" w:rsidRDefault="002E32B5" w:rsidP="002E32B5">
            <w:pPr>
              <w:pStyle w:val="FSTableText"/>
              <w:cnfStyle w:val="000000100000" w:firstRow="0" w:lastRow="0" w:firstColumn="0" w:lastColumn="0" w:oddVBand="0" w:evenVBand="0" w:oddHBand="1" w:evenHBand="0" w:firstRowFirstColumn="0" w:firstRowLastColumn="0" w:lastRowFirstColumn="0" w:lastRowLastColumn="0"/>
            </w:pPr>
            <w:r>
              <w:t xml:space="preserve">Nestle </w:t>
            </w:r>
          </w:p>
          <w:p w14:paraId="29431392" w14:textId="41DBE55B" w:rsidR="002E32B5" w:rsidRDefault="002E32B5" w:rsidP="002E32B5">
            <w:pPr>
              <w:pStyle w:val="FSTableText"/>
              <w:cnfStyle w:val="000000100000" w:firstRow="0" w:lastRow="0" w:firstColumn="0" w:lastColumn="0" w:oddVBand="0" w:evenVBand="0" w:oddHBand="1" w:evenHBand="0" w:firstRowFirstColumn="0" w:firstRowLastColumn="0" w:lastRowFirstColumn="0" w:lastRowLastColumn="0"/>
            </w:pPr>
            <w:r>
              <w:t xml:space="preserve"> </w:t>
            </w:r>
          </w:p>
        </w:tc>
        <w:tc>
          <w:tcPr>
            <w:tcW w:w="5720" w:type="dxa"/>
            <w:tcBorders>
              <w:left w:val="single" w:sz="4" w:space="0" w:color="auto"/>
            </w:tcBorders>
          </w:tcPr>
          <w:p w14:paraId="4AB1C4F1" w14:textId="77777777" w:rsidR="002E32B5" w:rsidRPr="001A1A1B" w:rsidRDefault="002E32B5" w:rsidP="002E32B5">
            <w:pPr>
              <w:cnfStyle w:val="000000100000" w:firstRow="0" w:lastRow="0" w:firstColumn="0" w:lastColumn="0" w:oddVBand="0" w:evenVBand="0" w:oddHBand="1" w:evenHBand="0" w:firstRowFirstColumn="0" w:firstRowLastColumn="0" w:lastRowFirstColumn="0" w:lastRowLastColumn="0"/>
              <w:rPr>
                <w:sz w:val="20"/>
              </w:rPr>
            </w:pPr>
            <w:r>
              <w:rPr>
                <w:sz w:val="20"/>
              </w:rPr>
              <w:t>Refer to the response above.</w:t>
            </w:r>
          </w:p>
          <w:p w14:paraId="0D5295AB" w14:textId="64552B09" w:rsidR="002E32B5" w:rsidRDefault="002E32B5" w:rsidP="002E32B5">
            <w:pPr>
              <w:cnfStyle w:val="000000100000" w:firstRow="0" w:lastRow="0" w:firstColumn="0" w:lastColumn="0" w:oddVBand="0" w:evenVBand="0" w:oddHBand="1" w:evenHBand="0" w:firstRowFirstColumn="0" w:firstRowLastColumn="0" w:lastRowFirstColumn="0" w:lastRowLastColumn="0"/>
              <w:rPr>
                <w:sz w:val="20"/>
                <w:szCs w:val="20"/>
              </w:rPr>
            </w:pPr>
          </w:p>
        </w:tc>
      </w:tr>
      <w:tr w:rsidR="002E32B5" w14:paraId="5F31B708" w14:textId="77777777" w:rsidTr="00D13D2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7F15F084" w14:textId="35E5D7C6" w:rsidR="002E32B5" w:rsidRPr="004C4D02" w:rsidRDefault="002E32B5" w:rsidP="002E32B5">
            <w:pPr>
              <w:pStyle w:val="FSTableText"/>
              <w:rPr>
                <w:b w:val="0"/>
              </w:rPr>
            </w:pPr>
            <w:r w:rsidRPr="004C4D02">
              <w:rPr>
                <w:b w:val="0"/>
              </w:rPr>
              <w:t>FSANZ’s approach ignores other consumer-related legislation such as Fair Trading Act 1987 and Australian Competition and Consumer Act 2010.</w:t>
            </w:r>
          </w:p>
          <w:p w14:paraId="134BAC54" w14:textId="3FA6DA6A" w:rsidR="002E32B5" w:rsidRPr="004C4D02" w:rsidRDefault="002E32B5" w:rsidP="002E32B5">
            <w:pPr>
              <w:pStyle w:val="FSTableText"/>
              <w:rPr>
                <w:b w:val="0"/>
              </w:rPr>
            </w:pPr>
          </w:p>
        </w:tc>
        <w:tc>
          <w:tcPr>
            <w:tcW w:w="2522" w:type="dxa"/>
            <w:tcBorders>
              <w:left w:val="single" w:sz="4" w:space="0" w:color="auto"/>
              <w:right w:val="single" w:sz="4" w:space="0" w:color="auto"/>
            </w:tcBorders>
          </w:tcPr>
          <w:p w14:paraId="591EBF52" w14:textId="07B8FA42" w:rsidR="002E32B5" w:rsidRPr="004C4D02" w:rsidRDefault="002E32B5" w:rsidP="002E32B5">
            <w:pPr>
              <w:pStyle w:val="FSTableText"/>
              <w:cnfStyle w:val="000000010000" w:firstRow="0" w:lastRow="0" w:firstColumn="0" w:lastColumn="0" w:oddVBand="0" w:evenVBand="0" w:oddHBand="0" w:evenHBand="1" w:firstRowFirstColumn="0" w:firstRowLastColumn="0" w:lastRowFirstColumn="0" w:lastRowLastColumn="0"/>
            </w:pPr>
            <w:r w:rsidRPr="004C4D02">
              <w:t>INC, NZFGC, DCANZ</w:t>
            </w:r>
          </w:p>
        </w:tc>
        <w:tc>
          <w:tcPr>
            <w:tcW w:w="5720" w:type="dxa"/>
            <w:tcBorders>
              <w:left w:val="single" w:sz="4" w:space="0" w:color="auto"/>
            </w:tcBorders>
          </w:tcPr>
          <w:p w14:paraId="0B9E9E75" w14:textId="41F02C72" w:rsidR="002E32B5" w:rsidRPr="004C4D02" w:rsidRDefault="002E32B5" w:rsidP="002E32B5">
            <w:pPr>
              <w:cnfStyle w:val="000000010000" w:firstRow="0" w:lastRow="0" w:firstColumn="0" w:lastColumn="0" w:oddVBand="0" w:evenVBand="0" w:oddHBand="0" w:evenHBand="1" w:firstRowFirstColumn="0" w:firstRowLastColumn="0" w:lastRowFirstColumn="0" w:lastRowLastColumn="0"/>
              <w:rPr>
                <w:sz w:val="20"/>
                <w:szCs w:val="20"/>
              </w:rPr>
            </w:pPr>
            <w:r w:rsidRPr="004C4D02">
              <w:rPr>
                <w:color w:val="000000" w:themeColor="text1"/>
                <w:sz w:val="20"/>
                <w:szCs w:val="20"/>
              </w:rPr>
              <w:t xml:space="preserve">In addition to Food Standards Code requirements, all domestic and imported food for sale in Australia and New Zealand is subject to consumer legislation which requires that labels do not misinform through false, misleading or deceptive representations. FSANZ considers that  </w:t>
            </w:r>
            <w:r w:rsidRPr="004C4D02">
              <w:rPr>
                <w:sz w:val="20"/>
                <w:szCs w:val="20"/>
              </w:rPr>
              <w:t>2′-O-fucosyllactose (2′-FL) and Lacto-N-neotetraose (LNnT) are the accurate names for these specific oligosaccharides.</w:t>
            </w:r>
          </w:p>
        </w:tc>
      </w:tr>
      <w:tr w:rsidR="002E32B5" w14:paraId="583B727D" w14:textId="77777777" w:rsidTr="00D13D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22FEC1C4" w14:textId="7F7A2556" w:rsidR="002E32B5" w:rsidRDefault="002E32B5" w:rsidP="002E32B5">
            <w:pPr>
              <w:pStyle w:val="FSTableText"/>
              <w:rPr>
                <w:b w:val="0"/>
              </w:rPr>
            </w:pPr>
            <w:r>
              <w:rPr>
                <w:b w:val="0"/>
              </w:rPr>
              <w:t>P</w:t>
            </w:r>
            <w:r w:rsidRPr="00515F57">
              <w:rPr>
                <w:b w:val="0"/>
              </w:rPr>
              <w:t>ropose FSANZ remove</w:t>
            </w:r>
            <w:r>
              <w:rPr>
                <w:b w:val="0"/>
              </w:rPr>
              <w:t>s</w:t>
            </w:r>
            <w:r w:rsidRPr="00515F57">
              <w:rPr>
                <w:b w:val="0"/>
              </w:rPr>
              <w:t xml:space="preserve"> the restriction and </w:t>
            </w:r>
            <w:r>
              <w:rPr>
                <w:b w:val="0"/>
              </w:rPr>
              <w:t xml:space="preserve">sets a voluntary requirement for labels to include a </w:t>
            </w:r>
            <w:r w:rsidRPr="00515F57">
              <w:rPr>
                <w:b w:val="0"/>
              </w:rPr>
              <w:t xml:space="preserve">reference that these ingredients are ‘Not sourced from human milk’. </w:t>
            </w:r>
          </w:p>
        </w:tc>
        <w:tc>
          <w:tcPr>
            <w:tcW w:w="2522" w:type="dxa"/>
            <w:tcBorders>
              <w:left w:val="single" w:sz="4" w:space="0" w:color="auto"/>
              <w:right w:val="single" w:sz="4" w:space="0" w:color="auto"/>
            </w:tcBorders>
          </w:tcPr>
          <w:p w14:paraId="225C2FAE" w14:textId="4B20A522" w:rsidR="002E32B5" w:rsidRDefault="002E32B5" w:rsidP="002E32B5">
            <w:pPr>
              <w:pStyle w:val="FSTableText"/>
              <w:cnfStyle w:val="000000100000" w:firstRow="0" w:lastRow="0" w:firstColumn="0" w:lastColumn="0" w:oddVBand="0" w:evenVBand="0" w:oddHBand="1" w:evenHBand="0" w:firstRowFirstColumn="0" w:firstRowLastColumn="0" w:lastRowFirstColumn="0" w:lastRowLastColumn="0"/>
            </w:pPr>
            <w:r>
              <w:t xml:space="preserve">Nestle </w:t>
            </w:r>
          </w:p>
        </w:tc>
        <w:tc>
          <w:tcPr>
            <w:tcW w:w="5720" w:type="dxa"/>
            <w:tcBorders>
              <w:left w:val="single" w:sz="4" w:space="0" w:color="auto"/>
            </w:tcBorders>
          </w:tcPr>
          <w:p w14:paraId="4C173F0D" w14:textId="77777777" w:rsidR="002E32B5" w:rsidRPr="00DC5325" w:rsidRDefault="002E32B5" w:rsidP="002E32B5">
            <w:pPr>
              <w:cnfStyle w:val="000000100000" w:firstRow="0" w:lastRow="0" w:firstColumn="0" w:lastColumn="0" w:oddVBand="0" w:evenVBand="0" w:oddHBand="1" w:evenHBand="0" w:firstRowFirstColumn="0" w:firstRowLastColumn="0" w:lastRowFirstColumn="0" w:lastRowLastColumn="0"/>
              <w:rPr>
                <w:sz w:val="20"/>
              </w:rPr>
            </w:pPr>
            <w:r w:rsidRPr="00DC5325">
              <w:rPr>
                <w:sz w:val="20"/>
              </w:rPr>
              <w:t xml:space="preserve">FSANZ considers </w:t>
            </w:r>
            <w:r>
              <w:rPr>
                <w:sz w:val="20"/>
              </w:rPr>
              <w:t>that c</w:t>
            </w:r>
            <w:r w:rsidRPr="00DC5325">
              <w:rPr>
                <w:sz w:val="20"/>
              </w:rPr>
              <w:t xml:space="preserve">aregivers may find the presence of a statement ‘not sourced from human milk’ in association with ‘human milk identical oligosaccharides’ to be confusing. Caregivers may perceive this statement applies to other ingredients in the product, or may question whether other ingredients are in fact sourced from human milk.  </w:t>
            </w:r>
          </w:p>
          <w:p w14:paraId="459DF7E2" w14:textId="4998A18B" w:rsidR="002E32B5" w:rsidRDefault="002E32B5" w:rsidP="002E32B5">
            <w:pPr>
              <w:cnfStyle w:val="000000100000" w:firstRow="0" w:lastRow="0" w:firstColumn="0" w:lastColumn="0" w:oddVBand="0" w:evenVBand="0" w:oddHBand="1" w:evenHBand="0" w:firstRowFirstColumn="0" w:firstRowLastColumn="0" w:lastRowFirstColumn="0" w:lastRowLastColumn="0"/>
              <w:rPr>
                <w:sz w:val="20"/>
                <w:szCs w:val="20"/>
              </w:rPr>
            </w:pPr>
          </w:p>
        </w:tc>
      </w:tr>
      <w:tr w:rsidR="002E32B5" w14:paraId="70CD1337" w14:textId="77777777" w:rsidTr="00D13D2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724FC6CF" w14:textId="23ADDC45" w:rsidR="002E32B5" w:rsidRPr="007D2AC5" w:rsidRDefault="002E32B5" w:rsidP="002E32B5">
            <w:pPr>
              <w:rPr>
                <w:b w:val="0"/>
                <w:sz w:val="20"/>
                <w:szCs w:val="20"/>
              </w:rPr>
            </w:pPr>
            <w:r w:rsidRPr="007D2AC5">
              <w:rPr>
                <w:b w:val="0"/>
                <w:sz w:val="20"/>
                <w:szCs w:val="20"/>
              </w:rPr>
              <w:t>The consumer research to justify the prohibition relies on very limited consumer sample populations, labours the consumer impact, is limited to a small number of papers which reflect author conclusions and inferences rather than explicit data.</w:t>
            </w:r>
          </w:p>
          <w:p w14:paraId="7EDA4D89" w14:textId="135656E2" w:rsidR="002E32B5" w:rsidRDefault="002E32B5" w:rsidP="002E32B5">
            <w:pPr>
              <w:pStyle w:val="FSTableText"/>
              <w:rPr>
                <w:b w:val="0"/>
              </w:rPr>
            </w:pPr>
          </w:p>
        </w:tc>
        <w:tc>
          <w:tcPr>
            <w:tcW w:w="2522" w:type="dxa"/>
            <w:tcBorders>
              <w:left w:val="single" w:sz="4" w:space="0" w:color="auto"/>
              <w:right w:val="single" w:sz="4" w:space="0" w:color="auto"/>
            </w:tcBorders>
          </w:tcPr>
          <w:p w14:paraId="17DD7FA0" w14:textId="798AE191" w:rsidR="002E32B5" w:rsidRDefault="002E32B5" w:rsidP="002E32B5">
            <w:pPr>
              <w:pStyle w:val="FSTableText"/>
              <w:cnfStyle w:val="000000010000" w:firstRow="0" w:lastRow="0" w:firstColumn="0" w:lastColumn="0" w:oddVBand="0" w:evenVBand="0" w:oddHBand="0" w:evenHBand="1" w:firstRowFirstColumn="0" w:firstRowLastColumn="0" w:lastRowFirstColumn="0" w:lastRowLastColumn="0"/>
            </w:pPr>
            <w:r>
              <w:t xml:space="preserve">INC, NZFGC </w:t>
            </w:r>
          </w:p>
        </w:tc>
        <w:tc>
          <w:tcPr>
            <w:tcW w:w="5720" w:type="dxa"/>
            <w:tcBorders>
              <w:left w:val="single" w:sz="4" w:space="0" w:color="auto"/>
            </w:tcBorders>
          </w:tcPr>
          <w:p w14:paraId="2775E489" w14:textId="36682141" w:rsidR="002E32B5" w:rsidRDefault="002E32B5" w:rsidP="002E32B5">
            <w:pPr>
              <w:cnfStyle w:val="000000010000" w:firstRow="0" w:lastRow="0" w:firstColumn="0" w:lastColumn="0" w:oddVBand="0" w:evenVBand="0" w:oddHBand="0" w:evenHBand="1" w:firstRowFirstColumn="0" w:firstRowLastColumn="0" w:lastRowFirstColumn="0" w:lastRowLastColumn="0"/>
              <w:rPr>
                <w:sz w:val="20"/>
                <w:szCs w:val="20"/>
              </w:rPr>
            </w:pPr>
            <w:r>
              <w:rPr>
                <w:sz w:val="20"/>
              </w:rPr>
              <w:t xml:space="preserve">Refer to </w:t>
            </w:r>
            <w:r w:rsidRPr="00B60E5A">
              <w:rPr>
                <w:sz w:val="20"/>
              </w:rPr>
              <w:t>section 2.3.4.3.</w:t>
            </w:r>
          </w:p>
        </w:tc>
      </w:tr>
      <w:tr w:rsidR="002E32B5" w14:paraId="1495703F" w14:textId="77777777" w:rsidTr="00D13D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6EB3492E" w14:textId="1F8512CC" w:rsidR="002E32B5" w:rsidRDefault="002E32B5" w:rsidP="002E32B5">
            <w:pPr>
              <w:pStyle w:val="FSTableText"/>
              <w:rPr>
                <w:b w:val="0"/>
              </w:rPr>
            </w:pPr>
            <w:r>
              <w:rPr>
                <w:b w:val="0"/>
              </w:rPr>
              <w:t xml:space="preserve">The restrictions on use of these terms do not promote consistency with international markets; has the potential to create trade barriers. </w:t>
            </w:r>
          </w:p>
          <w:p w14:paraId="6F0B5AED" w14:textId="77777777" w:rsidR="002E32B5" w:rsidRDefault="002E32B5" w:rsidP="002E32B5">
            <w:pPr>
              <w:pStyle w:val="FSTableText"/>
              <w:rPr>
                <w:b w:val="0"/>
              </w:rPr>
            </w:pPr>
          </w:p>
          <w:p w14:paraId="21AC219F" w14:textId="77777777" w:rsidR="002E32B5" w:rsidRPr="00276A2F" w:rsidRDefault="002E32B5" w:rsidP="002E32B5">
            <w:pPr>
              <w:pStyle w:val="FSTableText"/>
              <w:rPr>
                <w:b w:val="0"/>
                <w:i/>
              </w:rPr>
            </w:pPr>
            <w:r w:rsidRPr="00276A2F">
              <w:rPr>
                <w:b w:val="0"/>
                <w:i/>
              </w:rPr>
              <w:t xml:space="preserve">Export </w:t>
            </w:r>
          </w:p>
          <w:p w14:paraId="63929D69" w14:textId="77777777" w:rsidR="002E32B5" w:rsidRPr="003A5E6B" w:rsidRDefault="002E32B5" w:rsidP="002E32B5">
            <w:pPr>
              <w:pStyle w:val="Default"/>
              <w:rPr>
                <w:rFonts w:ascii="Arial" w:hAnsi="Arial" w:cs="Arial"/>
                <w:b w:val="0"/>
                <w:sz w:val="20"/>
                <w:szCs w:val="22"/>
              </w:rPr>
            </w:pPr>
            <w:r w:rsidRPr="003A5E6B">
              <w:rPr>
                <w:rFonts w:ascii="Arial" w:hAnsi="Arial" w:cs="Arial"/>
                <w:b w:val="0"/>
                <w:sz w:val="20"/>
                <w:szCs w:val="22"/>
              </w:rPr>
              <w:t xml:space="preserve">Competitiveness with other global products in relation to cross-border e-commerce </w:t>
            </w:r>
            <w:r>
              <w:rPr>
                <w:rFonts w:ascii="Arial" w:hAnsi="Arial" w:cs="Arial"/>
                <w:b w:val="0"/>
                <w:sz w:val="20"/>
                <w:szCs w:val="22"/>
              </w:rPr>
              <w:t>(</w:t>
            </w:r>
            <w:r w:rsidRPr="003A5E6B">
              <w:rPr>
                <w:rFonts w:ascii="Arial" w:hAnsi="Arial" w:cs="Arial"/>
                <w:b w:val="0"/>
                <w:sz w:val="20"/>
                <w:szCs w:val="22"/>
              </w:rPr>
              <w:t>CBEC</w:t>
            </w:r>
            <w:r>
              <w:rPr>
                <w:rFonts w:ascii="Arial" w:hAnsi="Arial" w:cs="Arial"/>
                <w:b w:val="0"/>
                <w:sz w:val="20"/>
                <w:szCs w:val="22"/>
              </w:rPr>
              <w:t>) with China</w:t>
            </w:r>
            <w:r w:rsidRPr="003A5E6B">
              <w:rPr>
                <w:rFonts w:ascii="Arial" w:hAnsi="Arial" w:cs="Arial"/>
                <w:b w:val="0"/>
                <w:sz w:val="20"/>
                <w:szCs w:val="22"/>
              </w:rPr>
              <w:t xml:space="preserve">. </w:t>
            </w:r>
            <w:r>
              <w:rPr>
                <w:rFonts w:ascii="Arial" w:hAnsi="Arial" w:cs="Arial"/>
                <w:b w:val="0"/>
                <w:sz w:val="20"/>
                <w:szCs w:val="22"/>
              </w:rPr>
              <w:t xml:space="preserve">Constraining labelling for </w:t>
            </w:r>
            <w:r w:rsidRPr="003A5E6B">
              <w:rPr>
                <w:rFonts w:ascii="Arial" w:hAnsi="Arial" w:cs="Arial"/>
                <w:b w:val="0"/>
                <w:sz w:val="20"/>
                <w:szCs w:val="22"/>
              </w:rPr>
              <w:t>Australia</w:t>
            </w:r>
            <w:r>
              <w:rPr>
                <w:rFonts w:ascii="Arial" w:hAnsi="Arial" w:cs="Arial"/>
                <w:b w:val="0"/>
                <w:sz w:val="20"/>
                <w:szCs w:val="22"/>
              </w:rPr>
              <w:t>n</w:t>
            </w:r>
            <w:r w:rsidRPr="003A5E6B">
              <w:rPr>
                <w:rFonts w:ascii="Arial" w:hAnsi="Arial" w:cs="Arial"/>
                <w:b w:val="0"/>
                <w:sz w:val="20"/>
                <w:szCs w:val="22"/>
              </w:rPr>
              <w:t xml:space="preserve"> and New Zealand </w:t>
            </w:r>
            <w:r>
              <w:rPr>
                <w:rFonts w:ascii="Arial" w:hAnsi="Arial" w:cs="Arial"/>
                <w:b w:val="0"/>
                <w:sz w:val="20"/>
                <w:szCs w:val="22"/>
              </w:rPr>
              <w:t>products that a</w:t>
            </w:r>
            <w:r w:rsidRPr="003A5E6B">
              <w:rPr>
                <w:rFonts w:ascii="Arial" w:hAnsi="Arial" w:cs="Arial"/>
                <w:b w:val="0"/>
                <w:sz w:val="20"/>
                <w:szCs w:val="22"/>
              </w:rPr>
              <w:t xml:space="preserve">re not applied to other foreign products, </w:t>
            </w:r>
            <w:r>
              <w:rPr>
                <w:rFonts w:ascii="Arial" w:hAnsi="Arial" w:cs="Arial"/>
                <w:b w:val="0"/>
                <w:sz w:val="20"/>
                <w:szCs w:val="22"/>
              </w:rPr>
              <w:t xml:space="preserve">could mean </w:t>
            </w:r>
            <w:r w:rsidRPr="003A5E6B">
              <w:rPr>
                <w:rFonts w:ascii="Arial" w:hAnsi="Arial" w:cs="Arial"/>
                <w:b w:val="0"/>
                <w:sz w:val="20"/>
                <w:szCs w:val="22"/>
              </w:rPr>
              <w:t>trade will not compete with the developments that other countries permit. In the longer term, there will be a sustained impact on expanding trade and recognition of products from Australian and New Zealand origin</w:t>
            </w:r>
            <w:r>
              <w:rPr>
                <w:rFonts w:ascii="Arial" w:hAnsi="Arial" w:cs="Arial"/>
                <w:b w:val="0"/>
                <w:sz w:val="20"/>
                <w:szCs w:val="22"/>
              </w:rPr>
              <w:t xml:space="preserve">. </w:t>
            </w:r>
          </w:p>
          <w:p w14:paraId="0AADBE62" w14:textId="77777777" w:rsidR="002E32B5" w:rsidRPr="003A5E6B" w:rsidRDefault="002E32B5" w:rsidP="002E32B5">
            <w:pPr>
              <w:pStyle w:val="Default"/>
              <w:rPr>
                <w:rFonts w:ascii="Arial" w:hAnsi="Arial" w:cs="Arial"/>
                <w:b w:val="0"/>
                <w:sz w:val="20"/>
                <w:szCs w:val="22"/>
              </w:rPr>
            </w:pPr>
          </w:p>
          <w:p w14:paraId="466D6508" w14:textId="77777777" w:rsidR="002E32B5" w:rsidRPr="00276A2F" w:rsidRDefault="002E32B5" w:rsidP="002E32B5">
            <w:pPr>
              <w:pStyle w:val="Default"/>
              <w:rPr>
                <w:rFonts w:ascii="Arial" w:hAnsi="Arial" w:cs="Arial"/>
                <w:b w:val="0"/>
                <w:i/>
                <w:sz w:val="20"/>
                <w:szCs w:val="22"/>
              </w:rPr>
            </w:pPr>
            <w:r w:rsidRPr="00276A2F">
              <w:rPr>
                <w:rFonts w:ascii="Arial" w:hAnsi="Arial" w:cs="Arial"/>
                <w:b w:val="0"/>
                <w:i/>
                <w:sz w:val="20"/>
                <w:szCs w:val="22"/>
              </w:rPr>
              <w:t xml:space="preserve">Import </w:t>
            </w:r>
          </w:p>
          <w:p w14:paraId="6DC9BCEB" w14:textId="77777777" w:rsidR="002E32B5" w:rsidRPr="003A5E6B" w:rsidRDefault="002E32B5" w:rsidP="002E32B5">
            <w:pPr>
              <w:pStyle w:val="Default"/>
              <w:rPr>
                <w:rFonts w:ascii="Arial" w:hAnsi="Arial" w:cs="Arial"/>
                <w:b w:val="0"/>
                <w:sz w:val="20"/>
                <w:szCs w:val="22"/>
              </w:rPr>
            </w:pPr>
            <w:r>
              <w:rPr>
                <w:rFonts w:ascii="Arial" w:hAnsi="Arial" w:cs="Arial"/>
                <w:b w:val="0"/>
                <w:sz w:val="20"/>
                <w:szCs w:val="22"/>
              </w:rPr>
              <w:t>Raises</w:t>
            </w:r>
            <w:r w:rsidRPr="003A5E6B">
              <w:rPr>
                <w:rFonts w:ascii="Arial" w:hAnsi="Arial" w:cs="Arial"/>
                <w:b w:val="0"/>
                <w:sz w:val="20"/>
                <w:szCs w:val="22"/>
              </w:rPr>
              <w:t xml:space="preserve"> conflicts in labelling requirements elsewhere that will influence/restrict the importation, and thus the availability, of innovative nutritious products for infants and young children in Australia and New Zealand.</w:t>
            </w:r>
          </w:p>
          <w:p w14:paraId="215C7D08" w14:textId="20D6E246" w:rsidR="002E32B5" w:rsidRDefault="002E32B5" w:rsidP="002E32B5">
            <w:pPr>
              <w:pStyle w:val="FSTableText"/>
              <w:rPr>
                <w:b w:val="0"/>
              </w:rPr>
            </w:pPr>
          </w:p>
        </w:tc>
        <w:tc>
          <w:tcPr>
            <w:tcW w:w="2522" w:type="dxa"/>
            <w:tcBorders>
              <w:left w:val="single" w:sz="4" w:space="0" w:color="auto"/>
              <w:right w:val="single" w:sz="4" w:space="0" w:color="auto"/>
            </w:tcBorders>
          </w:tcPr>
          <w:p w14:paraId="74356F4C" w14:textId="6F617B7B" w:rsidR="002E32B5" w:rsidRDefault="002E32B5" w:rsidP="002E32B5">
            <w:pPr>
              <w:pStyle w:val="FSTableText"/>
              <w:cnfStyle w:val="000000100000" w:firstRow="0" w:lastRow="0" w:firstColumn="0" w:lastColumn="0" w:oddVBand="0" w:evenVBand="0" w:oddHBand="1" w:evenHBand="0" w:firstRowFirstColumn="0" w:firstRowLastColumn="0" w:lastRowFirstColumn="0" w:lastRowLastColumn="0"/>
            </w:pPr>
            <w:r>
              <w:t xml:space="preserve">DGC, AFGC, INC, Danone, NZFGC </w:t>
            </w:r>
          </w:p>
        </w:tc>
        <w:tc>
          <w:tcPr>
            <w:tcW w:w="5720" w:type="dxa"/>
            <w:tcBorders>
              <w:left w:val="single" w:sz="4" w:space="0" w:color="auto"/>
            </w:tcBorders>
          </w:tcPr>
          <w:p w14:paraId="4B83960C" w14:textId="77777777" w:rsidR="002E32B5" w:rsidRPr="00474C39" w:rsidRDefault="002E32B5" w:rsidP="002E32B5">
            <w:pPr>
              <w:cnfStyle w:val="000000100000" w:firstRow="0" w:lastRow="0" w:firstColumn="0" w:lastColumn="0" w:oddVBand="0" w:evenVBand="0" w:oddHBand="1" w:evenHBand="0" w:firstRowFirstColumn="0" w:firstRowLastColumn="0" w:lastRowFirstColumn="0" w:lastRowLastColumn="0"/>
              <w:rPr>
                <w:rFonts w:cs="Arial"/>
                <w:bCs/>
                <w:color w:val="000000"/>
                <w:sz w:val="20"/>
                <w:szCs w:val="22"/>
                <w:lang w:val="en-AU" w:eastAsia="en-GB" w:bidi="ar-SA"/>
              </w:rPr>
            </w:pPr>
            <w:r w:rsidRPr="00474C39">
              <w:rPr>
                <w:rFonts w:cs="Arial"/>
                <w:bCs/>
                <w:color w:val="000000"/>
                <w:sz w:val="20"/>
                <w:szCs w:val="22"/>
                <w:lang w:val="en-AU" w:eastAsia="en-GB" w:bidi="ar-SA"/>
              </w:rPr>
              <w:t xml:space="preserve">As noted in </w:t>
            </w:r>
            <w:r w:rsidRPr="00B60E5A">
              <w:rPr>
                <w:rFonts w:cs="Arial"/>
                <w:bCs/>
                <w:color w:val="000000"/>
                <w:sz w:val="20"/>
                <w:szCs w:val="22"/>
                <w:lang w:val="en-AU" w:eastAsia="en-GB" w:bidi="ar-SA"/>
              </w:rPr>
              <w:t>sections 1.3.2.2 to 1.3.2.5, there</w:t>
            </w:r>
            <w:r w:rsidRPr="00474C39">
              <w:rPr>
                <w:rFonts w:cs="Arial"/>
                <w:bCs/>
                <w:color w:val="000000"/>
                <w:sz w:val="20"/>
                <w:szCs w:val="22"/>
                <w:lang w:val="en-AU" w:eastAsia="en-GB" w:bidi="ar-SA"/>
              </w:rPr>
              <w:t xml:space="preserve"> is no consistency in the labelling requirements </w:t>
            </w:r>
            <w:r>
              <w:rPr>
                <w:rFonts w:cs="Arial"/>
                <w:bCs/>
                <w:color w:val="000000"/>
                <w:sz w:val="20"/>
                <w:szCs w:val="22"/>
                <w:lang w:val="en-AU" w:eastAsia="en-GB" w:bidi="ar-SA"/>
              </w:rPr>
              <w:t xml:space="preserve">or restrictions relating to these oligosaccharides across countries. This is related to the policy framework around claims </w:t>
            </w:r>
            <w:r w:rsidRPr="00474C39">
              <w:rPr>
                <w:rFonts w:cs="Arial"/>
                <w:bCs/>
                <w:color w:val="000000"/>
                <w:sz w:val="20"/>
                <w:szCs w:val="22"/>
                <w:lang w:val="en-AU" w:eastAsia="en-GB" w:bidi="ar-SA"/>
              </w:rPr>
              <w:t>in different countries. FSANZ’s approach is consistent with the EU regulation which specifies the use of the terms ‘2’-fucosyllactose’ and ‘Lacto-N-neotetraose’ (Commission Implementing Decision (EU) 2017/2470).</w:t>
            </w:r>
          </w:p>
          <w:p w14:paraId="12201956" w14:textId="77777777" w:rsidR="002E32B5" w:rsidRPr="00474C39" w:rsidRDefault="002E32B5" w:rsidP="002E32B5">
            <w:pPr>
              <w:cnfStyle w:val="000000100000" w:firstRow="0" w:lastRow="0" w:firstColumn="0" w:lastColumn="0" w:oddVBand="0" w:evenVBand="0" w:oddHBand="1" w:evenHBand="0" w:firstRowFirstColumn="0" w:firstRowLastColumn="0" w:lastRowFirstColumn="0" w:lastRowLastColumn="0"/>
              <w:rPr>
                <w:rFonts w:cs="Arial"/>
                <w:bCs/>
                <w:color w:val="000000"/>
                <w:sz w:val="20"/>
                <w:szCs w:val="22"/>
                <w:lang w:val="en-AU" w:eastAsia="en-GB" w:bidi="ar-SA"/>
              </w:rPr>
            </w:pPr>
          </w:p>
          <w:p w14:paraId="7478BCF3" w14:textId="77777777" w:rsidR="002E32B5" w:rsidRPr="00474C39" w:rsidRDefault="002E32B5" w:rsidP="002E32B5">
            <w:pPr>
              <w:cnfStyle w:val="000000100000" w:firstRow="0" w:lastRow="0" w:firstColumn="0" w:lastColumn="0" w:oddVBand="0" w:evenVBand="0" w:oddHBand="1" w:evenHBand="0" w:firstRowFirstColumn="0" w:firstRowLastColumn="0" w:lastRowFirstColumn="0" w:lastRowLastColumn="0"/>
              <w:rPr>
                <w:rFonts w:cs="Arial"/>
                <w:bCs/>
                <w:color w:val="000000"/>
                <w:sz w:val="20"/>
                <w:szCs w:val="22"/>
                <w:lang w:val="en-AU" w:eastAsia="en-GB" w:bidi="ar-SA"/>
              </w:rPr>
            </w:pPr>
            <w:r w:rsidRPr="00474C39">
              <w:rPr>
                <w:rFonts w:cs="Arial"/>
                <w:bCs/>
                <w:color w:val="000000"/>
                <w:sz w:val="20"/>
                <w:szCs w:val="22"/>
                <w:lang w:val="en-AU" w:eastAsia="en-GB" w:bidi="ar-SA"/>
              </w:rPr>
              <w:t>FSANZ notes that many companies already have to label products for specific markets.</w:t>
            </w:r>
            <w:r>
              <w:rPr>
                <w:rFonts w:cs="Arial"/>
                <w:bCs/>
                <w:color w:val="000000"/>
                <w:sz w:val="20"/>
                <w:szCs w:val="22"/>
                <w:lang w:val="en-AU" w:eastAsia="en-GB" w:bidi="ar-SA"/>
              </w:rPr>
              <w:t xml:space="preserve"> </w:t>
            </w:r>
          </w:p>
          <w:p w14:paraId="40FBBD2E" w14:textId="29398A8D" w:rsidR="002E32B5" w:rsidRDefault="002E32B5" w:rsidP="002E32B5">
            <w:pPr>
              <w:cnfStyle w:val="000000100000" w:firstRow="0" w:lastRow="0" w:firstColumn="0" w:lastColumn="0" w:oddVBand="0" w:evenVBand="0" w:oddHBand="1" w:evenHBand="0" w:firstRowFirstColumn="0" w:firstRowLastColumn="0" w:lastRowFirstColumn="0" w:lastRowLastColumn="0"/>
              <w:rPr>
                <w:sz w:val="20"/>
                <w:szCs w:val="20"/>
              </w:rPr>
            </w:pPr>
          </w:p>
        </w:tc>
      </w:tr>
      <w:tr w:rsidR="002E32B5" w14:paraId="3B87C7C6" w14:textId="77777777" w:rsidTr="00D13D2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64A9CC86" w14:textId="7FAA424E" w:rsidR="002E32B5" w:rsidRDefault="002E32B5" w:rsidP="002E32B5">
            <w:pPr>
              <w:pStyle w:val="FSTableText"/>
              <w:rPr>
                <w:b w:val="0"/>
              </w:rPr>
            </w:pPr>
            <w:r>
              <w:rPr>
                <w:b w:val="0"/>
              </w:rPr>
              <w:t xml:space="preserve">Labelling restrictions are not appropriate for FSFYC – as claims for FSFYC are regulated by Standard 1.2.7 </w:t>
            </w:r>
          </w:p>
          <w:p w14:paraId="6B4B5030" w14:textId="735D7DA3" w:rsidR="002E32B5" w:rsidRDefault="002E32B5" w:rsidP="002E32B5">
            <w:pPr>
              <w:pStyle w:val="FSTableText"/>
              <w:rPr>
                <w:b w:val="0"/>
              </w:rPr>
            </w:pPr>
          </w:p>
        </w:tc>
        <w:tc>
          <w:tcPr>
            <w:tcW w:w="2522" w:type="dxa"/>
            <w:tcBorders>
              <w:left w:val="single" w:sz="4" w:space="0" w:color="auto"/>
              <w:right w:val="single" w:sz="4" w:space="0" w:color="auto"/>
            </w:tcBorders>
          </w:tcPr>
          <w:p w14:paraId="43503487" w14:textId="611829B0" w:rsidR="002E32B5" w:rsidRDefault="002E32B5" w:rsidP="002E32B5">
            <w:pPr>
              <w:pStyle w:val="FSTableText"/>
              <w:cnfStyle w:val="000000010000" w:firstRow="0" w:lastRow="0" w:firstColumn="0" w:lastColumn="0" w:oddVBand="0" w:evenVBand="0" w:oddHBand="0" w:evenHBand="1" w:firstRowFirstColumn="0" w:firstRowLastColumn="0" w:lastRowFirstColumn="0" w:lastRowLastColumn="0"/>
            </w:pPr>
            <w:r>
              <w:t>AFGC, INC, Nestle, NZFGC</w:t>
            </w:r>
          </w:p>
        </w:tc>
        <w:tc>
          <w:tcPr>
            <w:tcW w:w="5720" w:type="dxa"/>
            <w:tcBorders>
              <w:left w:val="single" w:sz="4" w:space="0" w:color="auto"/>
            </w:tcBorders>
          </w:tcPr>
          <w:p w14:paraId="76FBF8E1" w14:textId="21100C08" w:rsidR="002E32B5" w:rsidRPr="00474C39" w:rsidRDefault="002E32B5" w:rsidP="002E32B5">
            <w:pPr>
              <w:cnfStyle w:val="000000010000" w:firstRow="0" w:lastRow="0" w:firstColumn="0" w:lastColumn="0" w:oddVBand="0" w:evenVBand="0" w:oddHBand="0" w:evenHBand="1" w:firstRowFirstColumn="0" w:firstRowLastColumn="0" w:lastRowFirstColumn="0" w:lastRowLastColumn="0"/>
              <w:rPr>
                <w:rFonts w:cs="Arial"/>
                <w:bCs/>
                <w:color w:val="000000"/>
                <w:sz w:val="20"/>
                <w:szCs w:val="22"/>
                <w:lang w:val="en-AU" w:eastAsia="en-GB" w:bidi="ar-SA"/>
              </w:rPr>
            </w:pPr>
            <w:r w:rsidRPr="00B817C9">
              <w:rPr>
                <w:sz w:val="20"/>
              </w:rPr>
              <w:t xml:space="preserve">The approach does not prohibit claims on FSFYC, </w:t>
            </w:r>
            <w:r>
              <w:rPr>
                <w:sz w:val="20"/>
              </w:rPr>
              <w:t xml:space="preserve">however </w:t>
            </w:r>
            <w:r w:rsidRPr="00B817C9">
              <w:rPr>
                <w:sz w:val="20"/>
              </w:rPr>
              <w:t xml:space="preserve">it does place some restrictions on the voluntary information that </w:t>
            </w:r>
            <w:r>
              <w:rPr>
                <w:sz w:val="20"/>
              </w:rPr>
              <w:t>can be used on FSFYC. This is consistent with current approaches in the Code.</w:t>
            </w:r>
          </w:p>
        </w:tc>
      </w:tr>
      <w:tr w:rsidR="002E32B5" w14:paraId="120849A6" w14:textId="77777777" w:rsidTr="00D13D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75059AFF" w14:textId="05441CC3" w:rsidR="002E32B5" w:rsidRDefault="002E32B5" w:rsidP="002E32B5">
            <w:pPr>
              <w:pStyle w:val="FSTableText"/>
              <w:rPr>
                <w:b w:val="0"/>
              </w:rPr>
            </w:pPr>
            <w:r w:rsidRPr="00562618">
              <w:rPr>
                <w:b w:val="0"/>
              </w:rPr>
              <w:t>Concerned that the trademarked ingredient name is an implied health claim and that trademarks are exempt fr</w:t>
            </w:r>
            <w:r>
              <w:rPr>
                <w:b w:val="0"/>
              </w:rPr>
              <w:t xml:space="preserve">om the health claims standard. </w:t>
            </w:r>
          </w:p>
        </w:tc>
        <w:tc>
          <w:tcPr>
            <w:tcW w:w="2522" w:type="dxa"/>
            <w:tcBorders>
              <w:left w:val="single" w:sz="4" w:space="0" w:color="auto"/>
              <w:right w:val="single" w:sz="4" w:space="0" w:color="auto"/>
            </w:tcBorders>
          </w:tcPr>
          <w:p w14:paraId="7318241E" w14:textId="683360F9" w:rsidR="002E32B5" w:rsidRDefault="002E32B5" w:rsidP="002E32B5">
            <w:pPr>
              <w:pStyle w:val="FSTableText"/>
              <w:cnfStyle w:val="000000100000" w:firstRow="0" w:lastRow="0" w:firstColumn="0" w:lastColumn="0" w:oddVBand="0" w:evenVBand="0" w:oddHBand="1" w:evenHBand="0" w:firstRowFirstColumn="0" w:firstRowLastColumn="0" w:lastRowFirstColumn="0" w:lastRowLastColumn="0"/>
            </w:pPr>
            <w:r w:rsidRPr="00562618">
              <w:t>NSW</w:t>
            </w:r>
            <w:r>
              <w:t>FA</w:t>
            </w:r>
            <w:r w:rsidRPr="00562618">
              <w:t xml:space="preserve"> </w:t>
            </w:r>
          </w:p>
        </w:tc>
        <w:tc>
          <w:tcPr>
            <w:tcW w:w="5720" w:type="dxa"/>
            <w:tcBorders>
              <w:left w:val="single" w:sz="4" w:space="0" w:color="auto"/>
            </w:tcBorders>
          </w:tcPr>
          <w:p w14:paraId="7043203D" w14:textId="5DD196DA" w:rsidR="002E32B5" w:rsidRPr="00562618" w:rsidRDefault="002E32B5" w:rsidP="002E32B5">
            <w:pPr>
              <w:cnfStyle w:val="000000100000" w:firstRow="0" w:lastRow="0" w:firstColumn="0" w:lastColumn="0" w:oddVBand="0" w:evenVBand="0" w:oddHBand="1" w:evenHBand="0" w:firstRowFirstColumn="0" w:firstRowLastColumn="0" w:lastRowFirstColumn="0" w:lastRowLastColumn="0"/>
              <w:rPr>
                <w:sz w:val="20"/>
                <w:szCs w:val="20"/>
              </w:rPr>
            </w:pPr>
            <w:r w:rsidRPr="00562618">
              <w:rPr>
                <w:sz w:val="20"/>
                <w:szCs w:val="20"/>
              </w:rPr>
              <w:t xml:space="preserve">The issue of trade marks is out of scope for this application. </w:t>
            </w:r>
            <w:r>
              <w:rPr>
                <w:sz w:val="20"/>
                <w:szCs w:val="20"/>
              </w:rPr>
              <w:t xml:space="preserve">Refer to discussion </w:t>
            </w:r>
            <w:r w:rsidRPr="00F47F2F">
              <w:rPr>
                <w:sz w:val="20"/>
                <w:szCs w:val="20"/>
              </w:rPr>
              <w:t>in section 2.3.4.5. FSANZ</w:t>
            </w:r>
            <w:r w:rsidRPr="00741ED4">
              <w:rPr>
                <w:sz w:val="20"/>
                <w:szCs w:val="20"/>
              </w:rPr>
              <w:t xml:space="preserve"> has held discussions with IP Australia regarding the prohibition on nutrition</w:t>
            </w:r>
            <w:r>
              <w:rPr>
                <w:sz w:val="20"/>
                <w:szCs w:val="20"/>
              </w:rPr>
              <w:t xml:space="preserve"> content claims and health </w:t>
            </w:r>
            <w:r w:rsidRPr="00741ED4">
              <w:rPr>
                <w:sz w:val="20"/>
                <w:szCs w:val="20"/>
              </w:rPr>
              <w:t>claims on infant formula</w:t>
            </w:r>
            <w:r>
              <w:rPr>
                <w:sz w:val="20"/>
                <w:szCs w:val="20"/>
              </w:rPr>
              <w:t>.</w:t>
            </w:r>
          </w:p>
          <w:p w14:paraId="002E79EE" w14:textId="4F30268F" w:rsidR="002E32B5" w:rsidRPr="00474C39" w:rsidRDefault="002E32B5" w:rsidP="002E32B5">
            <w:pPr>
              <w:cnfStyle w:val="000000100000" w:firstRow="0" w:lastRow="0" w:firstColumn="0" w:lastColumn="0" w:oddVBand="0" w:evenVBand="0" w:oddHBand="1" w:evenHBand="0" w:firstRowFirstColumn="0" w:firstRowLastColumn="0" w:lastRowFirstColumn="0" w:lastRowLastColumn="0"/>
              <w:rPr>
                <w:rFonts w:cs="Arial"/>
                <w:bCs/>
                <w:color w:val="000000"/>
                <w:sz w:val="20"/>
                <w:szCs w:val="22"/>
                <w:lang w:val="en-AU" w:eastAsia="en-GB" w:bidi="ar-SA"/>
              </w:rPr>
            </w:pPr>
          </w:p>
        </w:tc>
      </w:tr>
      <w:tr w:rsidR="002E32B5" w14:paraId="68B79402" w14:textId="77777777" w:rsidTr="00D13D2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572417F8" w14:textId="33D360AA" w:rsidR="002E32B5" w:rsidRDefault="002E32B5" w:rsidP="002E32B5">
            <w:pPr>
              <w:pStyle w:val="FSTableText"/>
              <w:rPr>
                <w:b w:val="0"/>
              </w:rPr>
            </w:pPr>
            <w:r w:rsidRPr="00BD7879">
              <w:rPr>
                <w:b w:val="0"/>
              </w:rPr>
              <w:t>There is a need to fully investigate future proofing these proposed prohibitions, such as how to deal with potential impact of trademarking</w:t>
            </w:r>
          </w:p>
        </w:tc>
        <w:tc>
          <w:tcPr>
            <w:tcW w:w="2522" w:type="dxa"/>
            <w:tcBorders>
              <w:left w:val="single" w:sz="4" w:space="0" w:color="auto"/>
              <w:right w:val="single" w:sz="4" w:space="0" w:color="auto"/>
            </w:tcBorders>
          </w:tcPr>
          <w:p w14:paraId="1EB85BDD" w14:textId="6A069E47" w:rsidR="002E32B5" w:rsidRDefault="002E32B5" w:rsidP="002E32B5">
            <w:pPr>
              <w:pStyle w:val="FSTableText"/>
              <w:cnfStyle w:val="000000010000" w:firstRow="0" w:lastRow="0" w:firstColumn="0" w:lastColumn="0" w:oddVBand="0" w:evenVBand="0" w:oddHBand="0" w:evenHBand="1" w:firstRowFirstColumn="0" w:firstRowLastColumn="0" w:lastRowFirstColumn="0" w:lastRowLastColumn="0"/>
            </w:pPr>
            <w:r>
              <w:t xml:space="preserve">WA DoH, VIC </w:t>
            </w:r>
          </w:p>
        </w:tc>
        <w:tc>
          <w:tcPr>
            <w:tcW w:w="5720" w:type="dxa"/>
            <w:tcBorders>
              <w:left w:val="single" w:sz="4" w:space="0" w:color="auto"/>
            </w:tcBorders>
          </w:tcPr>
          <w:p w14:paraId="21A8EDCD" w14:textId="13300242" w:rsidR="002E32B5" w:rsidRPr="00474C39" w:rsidRDefault="002E32B5" w:rsidP="002E32B5">
            <w:pPr>
              <w:cnfStyle w:val="000000010000" w:firstRow="0" w:lastRow="0" w:firstColumn="0" w:lastColumn="0" w:oddVBand="0" w:evenVBand="0" w:oddHBand="0" w:evenHBand="1" w:firstRowFirstColumn="0" w:firstRowLastColumn="0" w:lastRowFirstColumn="0" w:lastRowLastColumn="0"/>
              <w:rPr>
                <w:rFonts w:cs="Arial"/>
                <w:bCs/>
                <w:color w:val="000000"/>
                <w:sz w:val="20"/>
                <w:szCs w:val="22"/>
                <w:lang w:val="en-AU" w:eastAsia="en-GB" w:bidi="ar-SA"/>
              </w:rPr>
            </w:pPr>
            <w:r w:rsidRPr="001114AC">
              <w:rPr>
                <w:sz w:val="20"/>
              </w:rPr>
              <w:t>Trademarks are outside the scope of the Code. See comment above.</w:t>
            </w:r>
          </w:p>
        </w:tc>
      </w:tr>
      <w:tr w:rsidR="002E32B5" w14:paraId="40E0C6A5" w14:textId="77777777" w:rsidTr="00D13D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4330425D" w14:textId="62778CFF" w:rsidR="002E32B5" w:rsidRDefault="002E32B5" w:rsidP="002E32B5">
            <w:pPr>
              <w:pStyle w:val="FSTableText"/>
              <w:rPr>
                <w:b w:val="0"/>
              </w:rPr>
            </w:pPr>
            <w:r>
              <w:rPr>
                <w:b w:val="0"/>
              </w:rPr>
              <w:t xml:space="preserve">The </w:t>
            </w:r>
            <w:r w:rsidRPr="004C3248">
              <w:rPr>
                <w:b w:val="0"/>
              </w:rPr>
              <w:t>FSANZ approach stifles innovation</w:t>
            </w:r>
            <w:r>
              <w:rPr>
                <w:b w:val="0"/>
              </w:rPr>
              <w:t>,</w:t>
            </w:r>
            <w:r w:rsidRPr="004C3248">
              <w:rPr>
                <w:b w:val="0"/>
              </w:rPr>
              <w:t xml:space="preserve"> impacting competition in both countries</w:t>
            </w:r>
            <w:r>
              <w:rPr>
                <w:b w:val="0"/>
              </w:rPr>
              <w:t xml:space="preserve">.  </w:t>
            </w:r>
          </w:p>
        </w:tc>
        <w:tc>
          <w:tcPr>
            <w:tcW w:w="2522" w:type="dxa"/>
            <w:tcBorders>
              <w:left w:val="single" w:sz="4" w:space="0" w:color="auto"/>
              <w:right w:val="single" w:sz="4" w:space="0" w:color="auto"/>
            </w:tcBorders>
          </w:tcPr>
          <w:p w14:paraId="2D6EC9B2" w14:textId="5660487B" w:rsidR="002E32B5" w:rsidRDefault="002E32B5" w:rsidP="002E32B5">
            <w:pPr>
              <w:pStyle w:val="FSTableText"/>
              <w:cnfStyle w:val="000000100000" w:firstRow="0" w:lastRow="0" w:firstColumn="0" w:lastColumn="0" w:oddVBand="0" w:evenVBand="0" w:oddHBand="1" w:evenHBand="0" w:firstRowFirstColumn="0" w:firstRowLastColumn="0" w:lastRowFirstColumn="0" w:lastRowLastColumn="0"/>
            </w:pPr>
            <w:r>
              <w:t>DGC, AFGC, INC, Danone, NZFGC</w:t>
            </w:r>
          </w:p>
        </w:tc>
        <w:tc>
          <w:tcPr>
            <w:tcW w:w="5720" w:type="dxa"/>
            <w:tcBorders>
              <w:left w:val="single" w:sz="4" w:space="0" w:color="auto"/>
            </w:tcBorders>
          </w:tcPr>
          <w:p w14:paraId="0E3C7853" w14:textId="72D7F8FA" w:rsidR="002E32B5" w:rsidRPr="00474C39" w:rsidRDefault="002E32B5" w:rsidP="002E32B5">
            <w:pPr>
              <w:cnfStyle w:val="000000100000" w:firstRow="0" w:lastRow="0" w:firstColumn="0" w:lastColumn="0" w:oddVBand="0" w:evenVBand="0" w:oddHBand="1" w:evenHBand="0" w:firstRowFirstColumn="0" w:firstRowLastColumn="0" w:lastRowFirstColumn="0" w:lastRowLastColumn="0"/>
              <w:rPr>
                <w:rFonts w:cs="Arial"/>
                <w:bCs/>
                <w:color w:val="000000"/>
                <w:sz w:val="20"/>
                <w:szCs w:val="22"/>
                <w:lang w:val="en-AU" w:eastAsia="en-GB" w:bidi="ar-SA"/>
              </w:rPr>
            </w:pPr>
            <w:r w:rsidRPr="001114AC">
              <w:rPr>
                <w:sz w:val="20"/>
              </w:rPr>
              <w:t>Noted.</w:t>
            </w:r>
          </w:p>
        </w:tc>
      </w:tr>
      <w:tr w:rsidR="002E32B5" w14:paraId="6D75A0CB" w14:textId="77777777" w:rsidTr="00D13D2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0CC802E5" w14:textId="2D5A0E01" w:rsidR="002E32B5" w:rsidRPr="001E7CF9" w:rsidRDefault="002E32B5" w:rsidP="002E32B5">
            <w:pPr>
              <w:pStyle w:val="FSTableText"/>
              <w:rPr>
                <w:b w:val="0"/>
              </w:rPr>
            </w:pPr>
            <w:r w:rsidRPr="001E7CF9">
              <w:rPr>
                <w:b w:val="0"/>
              </w:rPr>
              <w:t>FSANZ should consider a prohibition on terms such as ‘human milk identical’ more generally for foods for other purposes (e.g. sports supplements).</w:t>
            </w:r>
          </w:p>
        </w:tc>
        <w:tc>
          <w:tcPr>
            <w:tcW w:w="2522" w:type="dxa"/>
            <w:tcBorders>
              <w:left w:val="single" w:sz="4" w:space="0" w:color="auto"/>
              <w:right w:val="single" w:sz="4" w:space="0" w:color="auto"/>
            </w:tcBorders>
          </w:tcPr>
          <w:p w14:paraId="7023D43E" w14:textId="6193E27C" w:rsidR="002E32B5" w:rsidRPr="001E7CF9" w:rsidRDefault="002E32B5" w:rsidP="002E32B5">
            <w:pPr>
              <w:pStyle w:val="FSTableText"/>
              <w:cnfStyle w:val="000000010000" w:firstRow="0" w:lastRow="0" w:firstColumn="0" w:lastColumn="0" w:oddVBand="0" w:evenVBand="0" w:oddHBand="0" w:evenHBand="1" w:firstRowFirstColumn="0" w:firstRowLastColumn="0" w:lastRowFirstColumn="0" w:lastRowLastColumn="0"/>
            </w:pPr>
            <w:r w:rsidRPr="001E7CF9">
              <w:t xml:space="preserve">NZFS </w:t>
            </w:r>
          </w:p>
        </w:tc>
        <w:tc>
          <w:tcPr>
            <w:tcW w:w="5720" w:type="dxa"/>
            <w:tcBorders>
              <w:left w:val="single" w:sz="4" w:space="0" w:color="auto"/>
            </w:tcBorders>
          </w:tcPr>
          <w:p w14:paraId="2992528C" w14:textId="07CBB7E2" w:rsidR="002E32B5" w:rsidRPr="001E7CF9" w:rsidRDefault="002E32B5" w:rsidP="002E32B5">
            <w:pPr>
              <w:cnfStyle w:val="000000010000" w:firstRow="0" w:lastRow="0" w:firstColumn="0" w:lastColumn="0" w:oddVBand="0" w:evenVBand="0" w:oddHBand="0" w:evenHBand="1" w:firstRowFirstColumn="0" w:firstRowLastColumn="0" w:lastRowFirstColumn="0" w:lastRowLastColumn="0"/>
              <w:rPr>
                <w:rFonts w:cs="Arial"/>
                <w:bCs/>
                <w:color w:val="000000"/>
                <w:sz w:val="20"/>
                <w:szCs w:val="20"/>
                <w:lang w:val="en-AU" w:eastAsia="en-GB" w:bidi="ar-SA"/>
              </w:rPr>
            </w:pPr>
            <w:r w:rsidRPr="001E7CF9">
              <w:rPr>
                <w:sz w:val="20"/>
                <w:szCs w:val="20"/>
              </w:rPr>
              <w:t>Extending the proposed prohibition to other foods is beyond the scope of this application.</w:t>
            </w:r>
          </w:p>
        </w:tc>
      </w:tr>
      <w:tr w:rsidR="002E32B5" w14:paraId="1AE0E1B8" w14:textId="77777777" w:rsidTr="00D13D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29204A0B" w14:textId="624A9101" w:rsidR="002E32B5" w:rsidRPr="00B817C9" w:rsidRDefault="002E32B5" w:rsidP="002E32B5">
            <w:pPr>
              <w:pStyle w:val="Default"/>
              <w:rPr>
                <w:rFonts w:ascii="Arial" w:hAnsi="Arial" w:cs="Arial"/>
                <w:b w:val="0"/>
                <w:sz w:val="20"/>
                <w:szCs w:val="20"/>
              </w:rPr>
            </w:pPr>
            <w:r>
              <w:rPr>
                <w:rFonts w:ascii="Arial" w:hAnsi="Arial" w:cs="Arial"/>
                <w:b w:val="0"/>
                <w:sz w:val="20"/>
                <w:szCs w:val="20"/>
              </w:rPr>
              <w:t>N</w:t>
            </w:r>
            <w:r w:rsidRPr="000F7B31">
              <w:rPr>
                <w:rFonts w:ascii="Arial" w:hAnsi="Arial" w:cs="Arial"/>
                <w:b w:val="0"/>
                <w:sz w:val="20"/>
                <w:szCs w:val="20"/>
              </w:rPr>
              <w:t>ot opposed to the approach proposed by FSANZ to specifically prohibits the words or abbreviations or words having same or similar effect on the label of IFP</w:t>
            </w:r>
            <w:r>
              <w:rPr>
                <w:rFonts w:ascii="Arial" w:hAnsi="Arial" w:cs="Arial"/>
                <w:b w:val="0"/>
                <w:sz w:val="20"/>
                <w:szCs w:val="20"/>
              </w:rPr>
              <w:t xml:space="preserve">. </w:t>
            </w:r>
            <w:r w:rsidRPr="00B817C9">
              <w:rPr>
                <w:rFonts w:ascii="Arial" w:hAnsi="Arial" w:cs="Arial"/>
                <w:b w:val="0"/>
                <w:sz w:val="20"/>
                <w:szCs w:val="20"/>
              </w:rPr>
              <w:t>NZFS is of the view that in this context the prohibition on the word humanised etc means making something more human, by giving human character</w:t>
            </w:r>
          </w:p>
          <w:p w14:paraId="56C5479C" w14:textId="77777777" w:rsidR="002E32B5" w:rsidRPr="000F7B31" w:rsidRDefault="002E32B5" w:rsidP="002E32B5">
            <w:pPr>
              <w:pStyle w:val="Default"/>
              <w:rPr>
                <w:rFonts w:ascii="Arial" w:hAnsi="Arial" w:cs="Arial"/>
                <w:b w:val="0"/>
                <w:sz w:val="20"/>
                <w:szCs w:val="20"/>
              </w:rPr>
            </w:pPr>
          </w:p>
          <w:p w14:paraId="69590DAD" w14:textId="77777777" w:rsidR="002E32B5" w:rsidRPr="000F7B31" w:rsidRDefault="002E32B5" w:rsidP="002E32B5">
            <w:pPr>
              <w:pStyle w:val="Default"/>
              <w:rPr>
                <w:rFonts w:ascii="Arial" w:hAnsi="Arial" w:cs="Arial"/>
                <w:b w:val="0"/>
                <w:sz w:val="20"/>
                <w:szCs w:val="20"/>
              </w:rPr>
            </w:pPr>
            <w:r w:rsidRPr="000F7B31">
              <w:rPr>
                <w:rFonts w:ascii="Arial" w:hAnsi="Arial" w:cs="Arial"/>
                <w:b w:val="0"/>
                <w:sz w:val="20"/>
                <w:szCs w:val="20"/>
              </w:rPr>
              <w:t xml:space="preserve">Note Std 2.9.1-24: prohibited representations states humanised materialised words or any words to that effect and info re the nutritional content of human milk – consider that this already prohibits the </w:t>
            </w:r>
            <w:r>
              <w:rPr>
                <w:rFonts w:ascii="Arial" w:hAnsi="Arial" w:cs="Arial"/>
                <w:b w:val="0"/>
                <w:sz w:val="20"/>
                <w:szCs w:val="20"/>
              </w:rPr>
              <w:t xml:space="preserve">use of term on the label of IFP. </w:t>
            </w:r>
          </w:p>
          <w:p w14:paraId="04A8FE07" w14:textId="1FAF74CB" w:rsidR="002E32B5" w:rsidRDefault="002E32B5" w:rsidP="002E32B5">
            <w:pPr>
              <w:pStyle w:val="FSTableText"/>
              <w:rPr>
                <w:b w:val="0"/>
              </w:rPr>
            </w:pPr>
          </w:p>
        </w:tc>
        <w:tc>
          <w:tcPr>
            <w:tcW w:w="2522" w:type="dxa"/>
            <w:tcBorders>
              <w:left w:val="single" w:sz="4" w:space="0" w:color="auto"/>
              <w:right w:val="single" w:sz="4" w:space="0" w:color="auto"/>
            </w:tcBorders>
          </w:tcPr>
          <w:p w14:paraId="6225FDDA" w14:textId="795A9B3E" w:rsidR="002E32B5" w:rsidRDefault="002E32B5" w:rsidP="0092493C">
            <w:pPr>
              <w:pStyle w:val="FSTableText"/>
              <w:cnfStyle w:val="000000100000" w:firstRow="0" w:lastRow="0" w:firstColumn="0" w:lastColumn="0" w:oddVBand="0" w:evenVBand="0" w:oddHBand="1" w:evenHBand="0" w:firstRowFirstColumn="0" w:firstRowLastColumn="0" w:lastRowFirstColumn="0" w:lastRowLastColumn="0"/>
            </w:pPr>
            <w:r w:rsidRPr="000F7B31">
              <w:t xml:space="preserve">NZFS </w:t>
            </w:r>
          </w:p>
        </w:tc>
        <w:tc>
          <w:tcPr>
            <w:tcW w:w="5720" w:type="dxa"/>
            <w:tcBorders>
              <w:left w:val="single" w:sz="4" w:space="0" w:color="auto"/>
            </w:tcBorders>
          </w:tcPr>
          <w:p w14:paraId="66886D95" w14:textId="14858BA2" w:rsidR="002E32B5" w:rsidRPr="00474C39" w:rsidRDefault="002E32B5" w:rsidP="002E32B5">
            <w:pPr>
              <w:cnfStyle w:val="000000100000" w:firstRow="0" w:lastRow="0" w:firstColumn="0" w:lastColumn="0" w:oddVBand="0" w:evenVBand="0" w:oddHBand="1" w:evenHBand="0" w:firstRowFirstColumn="0" w:firstRowLastColumn="0" w:lastRowFirstColumn="0" w:lastRowLastColumn="0"/>
              <w:rPr>
                <w:rFonts w:cs="Arial"/>
                <w:bCs/>
                <w:color w:val="000000"/>
                <w:sz w:val="20"/>
                <w:szCs w:val="22"/>
                <w:lang w:val="en-AU" w:eastAsia="en-GB" w:bidi="ar-SA"/>
              </w:rPr>
            </w:pPr>
            <w:r w:rsidRPr="00B817C9">
              <w:rPr>
                <w:sz w:val="20"/>
              </w:rPr>
              <w:t>Noted</w:t>
            </w:r>
            <w:r>
              <w:rPr>
                <w:sz w:val="20"/>
              </w:rPr>
              <w:t>.</w:t>
            </w:r>
          </w:p>
        </w:tc>
      </w:tr>
      <w:tr w:rsidR="00615DF2" w14:paraId="143C64C1" w14:textId="77777777" w:rsidTr="00994B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08" w:type="dxa"/>
            <w:gridSpan w:val="3"/>
          </w:tcPr>
          <w:p w14:paraId="7704F51E" w14:textId="677AD714" w:rsidR="00615DF2" w:rsidRPr="007B6044" w:rsidRDefault="00615DF2" w:rsidP="00155668">
            <w:pPr>
              <w:pStyle w:val="Default"/>
              <w:keepNext/>
              <w:keepLines/>
              <w:spacing w:before="60"/>
              <w:rPr>
                <w:sz w:val="20"/>
              </w:rPr>
            </w:pPr>
            <w:r w:rsidRPr="003B522E">
              <w:rPr>
                <w:rFonts w:ascii="Arial" w:hAnsi="Arial" w:cs="Arial"/>
                <w:sz w:val="22"/>
                <w:szCs w:val="20"/>
              </w:rPr>
              <w:t xml:space="preserve">Claims </w:t>
            </w:r>
          </w:p>
        </w:tc>
      </w:tr>
      <w:tr w:rsidR="00615DF2" w14:paraId="67BD261B" w14:textId="77777777" w:rsidTr="00D13D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38F2C4E1" w14:textId="77777777" w:rsidR="00615DF2" w:rsidRPr="00615DF2" w:rsidRDefault="00615DF2" w:rsidP="00155668">
            <w:pPr>
              <w:pStyle w:val="Default"/>
              <w:keepNext/>
              <w:keepLines/>
              <w:rPr>
                <w:rFonts w:ascii="Arial" w:hAnsi="Arial" w:cs="Arial"/>
                <w:b w:val="0"/>
                <w:sz w:val="20"/>
                <w:szCs w:val="20"/>
              </w:rPr>
            </w:pPr>
            <w:r w:rsidRPr="00615DF2">
              <w:rPr>
                <w:rFonts w:ascii="Arial" w:hAnsi="Arial" w:cs="Arial"/>
                <w:b w:val="0"/>
                <w:sz w:val="20"/>
                <w:szCs w:val="20"/>
              </w:rPr>
              <w:t xml:space="preserve">FSANZ did not support listing of ‘gut health’ in Proposal P293 as an approved substantiated health effect from probiotics and prebiotics. Requests clarification as to FSANZ’s current position regarding this issue. </w:t>
            </w:r>
          </w:p>
          <w:p w14:paraId="27BF2FAB" w14:textId="77777777" w:rsidR="00615DF2" w:rsidRDefault="00615DF2" w:rsidP="00155668">
            <w:pPr>
              <w:pStyle w:val="Default"/>
              <w:keepNext/>
              <w:keepLines/>
              <w:rPr>
                <w:rFonts w:ascii="Arial" w:hAnsi="Arial" w:cs="Arial"/>
                <w:b w:val="0"/>
                <w:sz w:val="20"/>
                <w:szCs w:val="20"/>
              </w:rPr>
            </w:pPr>
          </w:p>
        </w:tc>
        <w:tc>
          <w:tcPr>
            <w:tcW w:w="2522" w:type="dxa"/>
            <w:tcBorders>
              <w:left w:val="single" w:sz="4" w:space="0" w:color="auto"/>
              <w:right w:val="single" w:sz="4" w:space="0" w:color="auto"/>
            </w:tcBorders>
          </w:tcPr>
          <w:p w14:paraId="6C947F3F" w14:textId="5C7A4274" w:rsidR="00615DF2" w:rsidRPr="00615DF2" w:rsidRDefault="00615DF2" w:rsidP="00155668">
            <w:pPr>
              <w:pStyle w:val="Default"/>
              <w:keepNext/>
              <w:keepLine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QLD Health </w:t>
            </w:r>
          </w:p>
        </w:tc>
        <w:tc>
          <w:tcPr>
            <w:tcW w:w="5720" w:type="dxa"/>
            <w:tcBorders>
              <w:left w:val="single" w:sz="4" w:space="0" w:color="auto"/>
            </w:tcBorders>
          </w:tcPr>
          <w:p w14:paraId="383EB987" w14:textId="77777777" w:rsidR="007B6044" w:rsidRDefault="007B6044" w:rsidP="00155668">
            <w:pPr>
              <w:pStyle w:val="Default"/>
              <w:keepNext/>
              <w:keepLines/>
              <w:cnfStyle w:val="000000100000" w:firstRow="0" w:lastRow="0" w:firstColumn="0" w:lastColumn="0" w:oddVBand="0" w:evenVBand="0" w:oddHBand="1" w:evenHBand="0" w:firstRowFirstColumn="0" w:firstRowLastColumn="0" w:lastRowFirstColumn="0" w:lastRowLastColumn="0"/>
              <w:rPr>
                <w:rFonts w:ascii="Arial" w:hAnsi="Arial"/>
                <w:color w:val="auto"/>
                <w:sz w:val="20"/>
                <w:lang w:val="en-GB" w:eastAsia="en-US" w:bidi="en-US"/>
              </w:rPr>
            </w:pPr>
            <w:r w:rsidRPr="007B6044">
              <w:rPr>
                <w:rFonts w:ascii="Arial" w:hAnsi="Arial"/>
                <w:color w:val="auto"/>
                <w:sz w:val="20"/>
                <w:lang w:val="en-GB" w:eastAsia="en-US" w:bidi="en-US"/>
              </w:rPr>
              <w:t xml:space="preserve">FSANZs position with respect to making a health claim regarding ‘gut health’ as referenced in P293 has not changed. The Policy Guideline on Nutrition, Health and Related Claims states that claims must communicate a specific, rather than a broad, benefit. ‘Gut health’ is multifactorial and not considered to be specific. </w:t>
            </w:r>
          </w:p>
          <w:p w14:paraId="7017AF94" w14:textId="77777777" w:rsidR="007B6044" w:rsidRDefault="007B6044" w:rsidP="00155668">
            <w:pPr>
              <w:pStyle w:val="Default"/>
              <w:keepNext/>
              <w:keepLines/>
              <w:cnfStyle w:val="000000100000" w:firstRow="0" w:lastRow="0" w:firstColumn="0" w:lastColumn="0" w:oddVBand="0" w:evenVBand="0" w:oddHBand="1" w:evenHBand="0" w:firstRowFirstColumn="0" w:firstRowLastColumn="0" w:lastRowFirstColumn="0" w:lastRowLastColumn="0"/>
              <w:rPr>
                <w:rFonts w:ascii="Arial" w:hAnsi="Arial"/>
                <w:color w:val="auto"/>
                <w:sz w:val="20"/>
                <w:lang w:val="en-GB" w:eastAsia="en-US" w:bidi="en-US"/>
              </w:rPr>
            </w:pPr>
          </w:p>
          <w:p w14:paraId="2B0E0ADE" w14:textId="70147500" w:rsidR="00B94E1C" w:rsidRDefault="007B6044" w:rsidP="00B94E1C">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The </w:t>
            </w:r>
            <w:r w:rsidRPr="007B6044">
              <w:rPr>
                <w:sz w:val="20"/>
              </w:rPr>
              <w:t xml:space="preserve">assessment of A1155, </w:t>
            </w:r>
            <w:r>
              <w:rPr>
                <w:sz w:val="20"/>
              </w:rPr>
              <w:t>c</w:t>
            </w:r>
            <w:r w:rsidRPr="007B6044">
              <w:rPr>
                <w:sz w:val="20"/>
              </w:rPr>
              <w:t xml:space="preserve">onsidered </w:t>
            </w:r>
            <w:r w:rsidR="00C5018B">
              <w:rPr>
                <w:sz w:val="20"/>
              </w:rPr>
              <w:t xml:space="preserve">a bifidogenic effect and associated change in stool </w:t>
            </w:r>
            <w:r w:rsidR="0027557C">
              <w:rPr>
                <w:sz w:val="20"/>
              </w:rPr>
              <w:t xml:space="preserve">to be </w:t>
            </w:r>
            <w:r w:rsidRPr="007B6044">
              <w:rPr>
                <w:sz w:val="20"/>
              </w:rPr>
              <w:t>specific health effects</w:t>
            </w:r>
            <w:r w:rsidR="00B94E1C">
              <w:rPr>
                <w:sz w:val="20"/>
              </w:rPr>
              <w:t xml:space="preserve">. </w:t>
            </w:r>
          </w:p>
          <w:p w14:paraId="277BF454" w14:textId="77777777" w:rsidR="00B94E1C" w:rsidRDefault="00B94E1C" w:rsidP="00B94E1C">
            <w:pPr>
              <w:cnfStyle w:val="000000100000" w:firstRow="0" w:lastRow="0" w:firstColumn="0" w:lastColumn="0" w:oddVBand="0" w:evenVBand="0" w:oddHBand="1" w:evenHBand="0" w:firstRowFirstColumn="0" w:firstRowLastColumn="0" w:lastRowFirstColumn="0" w:lastRowLastColumn="0"/>
              <w:rPr>
                <w:sz w:val="20"/>
              </w:rPr>
            </w:pPr>
          </w:p>
          <w:p w14:paraId="6021C84B" w14:textId="27A6078A" w:rsidR="00B94E1C" w:rsidRPr="00B94E1C" w:rsidRDefault="00B94E1C" w:rsidP="00B94E1C">
            <w:pPr>
              <w:cnfStyle w:val="000000100000" w:firstRow="0" w:lastRow="0" w:firstColumn="0" w:lastColumn="0" w:oddVBand="0" w:evenVBand="0" w:oddHBand="1" w:evenHBand="0" w:firstRowFirstColumn="0" w:firstRowLastColumn="0" w:lastRowFirstColumn="0" w:lastRowLastColumn="0"/>
              <w:rPr>
                <w:sz w:val="20"/>
              </w:rPr>
            </w:pPr>
            <w:r w:rsidRPr="00B94E1C">
              <w:rPr>
                <w:sz w:val="20"/>
              </w:rPr>
              <w:t xml:space="preserve">FSANZ considers that this assessment could not be used as the basis of a health claim, since asessment of any health claim, including claims of a preventive nature, was not part of FSANZ’s consideration of this application. </w:t>
            </w:r>
          </w:p>
          <w:p w14:paraId="2DE8F049" w14:textId="086DA9C2" w:rsidR="00615DF2" w:rsidRPr="007B6044" w:rsidRDefault="007B6044" w:rsidP="00B94E1C">
            <w:pPr>
              <w:pStyle w:val="Default"/>
              <w:keepNext/>
              <w:keepLines/>
              <w:cnfStyle w:val="000000100000" w:firstRow="0" w:lastRow="0" w:firstColumn="0" w:lastColumn="0" w:oddVBand="0" w:evenVBand="0" w:oddHBand="1" w:evenHBand="0" w:firstRowFirstColumn="0" w:firstRowLastColumn="0" w:lastRowFirstColumn="0" w:lastRowLastColumn="0"/>
              <w:rPr>
                <w:sz w:val="20"/>
              </w:rPr>
            </w:pPr>
            <w:r>
              <w:rPr>
                <w:sz w:val="20"/>
              </w:rPr>
              <w:tab/>
            </w:r>
          </w:p>
        </w:tc>
      </w:tr>
      <w:tr w:rsidR="00615DF2" w14:paraId="5FE04A21" w14:textId="77777777" w:rsidTr="00D13D2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68150976" w14:textId="0C0FBFBA" w:rsidR="003B522E" w:rsidRDefault="00615DF2" w:rsidP="00615DF2">
            <w:pPr>
              <w:pStyle w:val="Default"/>
              <w:rPr>
                <w:rFonts w:ascii="Arial" w:hAnsi="Arial" w:cs="Arial"/>
                <w:b w:val="0"/>
                <w:sz w:val="20"/>
                <w:szCs w:val="20"/>
              </w:rPr>
            </w:pPr>
            <w:r w:rsidRPr="00615DF2">
              <w:rPr>
                <w:rFonts w:ascii="Arial" w:hAnsi="Arial" w:cs="Arial"/>
                <w:b w:val="0"/>
                <w:sz w:val="20"/>
                <w:szCs w:val="20"/>
              </w:rPr>
              <w:t>Standard 1.2.7 prohibits claims in all foods that “refer to the prevention, diagnosis, cure or alleviation of a disease, disorder or condition;”</w:t>
            </w:r>
          </w:p>
          <w:p w14:paraId="2A1618BA" w14:textId="77777777" w:rsidR="003B522E" w:rsidRDefault="003B522E" w:rsidP="00615DF2">
            <w:pPr>
              <w:pStyle w:val="Default"/>
              <w:rPr>
                <w:rFonts w:ascii="Arial" w:hAnsi="Arial" w:cs="Arial"/>
                <w:b w:val="0"/>
                <w:sz w:val="20"/>
                <w:szCs w:val="20"/>
              </w:rPr>
            </w:pPr>
          </w:p>
          <w:p w14:paraId="28C0E574" w14:textId="1517809A" w:rsidR="003B522E" w:rsidRDefault="00615DF2" w:rsidP="003B522E">
            <w:pPr>
              <w:widowControl/>
              <w:autoSpaceDE w:val="0"/>
              <w:autoSpaceDN w:val="0"/>
              <w:adjustRightInd w:val="0"/>
              <w:rPr>
                <w:rFonts w:cs="Arial"/>
                <w:b w:val="0"/>
                <w:sz w:val="20"/>
                <w:szCs w:val="22"/>
                <w:lang w:eastAsia="en-GB" w:bidi="ar-SA"/>
              </w:rPr>
            </w:pPr>
            <w:r w:rsidRPr="00615DF2">
              <w:rPr>
                <w:rFonts w:cs="Arial"/>
                <w:b w:val="0"/>
                <w:sz w:val="20"/>
                <w:szCs w:val="20"/>
              </w:rPr>
              <w:t>Consider</w:t>
            </w:r>
            <w:r w:rsidR="003B522E">
              <w:rPr>
                <w:rFonts w:cs="Arial"/>
                <w:b w:val="0"/>
                <w:sz w:val="20"/>
                <w:szCs w:val="20"/>
              </w:rPr>
              <w:t>s</w:t>
            </w:r>
            <w:r w:rsidRPr="00615DF2">
              <w:rPr>
                <w:rFonts w:cs="Arial"/>
                <w:b w:val="0"/>
                <w:sz w:val="20"/>
                <w:szCs w:val="20"/>
              </w:rPr>
              <w:t xml:space="preserve"> that the Applicant’s anti-infective claim with respect to prevention of campylobacteriosis a high-level health claim due to a claim of a therapeutic and/or prophylactic effect against an infectious disease.</w:t>
            </w:r>
            <w:r w:rsidR="003B522E">
              <w:rPr>
                <w:rFonts w:cs="Arial"/>
                <w:b w:val="0"/>
                <w:sz w:val="20"/>
                <w:szCs w:val="22"/>
                <w:lang w:eastAsia="en-GB" w:bidi="ar-SA"/>
              </w:rPr>
              <w:t xml:space="preserve"> </w:t>
            </w:r>
          </w:p>
          <w:p w14:paraId="25418627" w14:textId="77777777" w:rsidR="003B522E" w:rsidRDefault="003B522E" w:rsidP="003B522E">
            <w:pPr>
              <w:widowControl/>
              <w:autoSpaceDE w:val="0"/>
              <w:autoSpaceDN w:val="0"/>
              <w:adjustRightInd w:val="0"/>
              <w:rPr>
                <w:rFonts w:cs="Arial"/>
                <w:b w:val="0"/>
                <w:sz w:val="20"/>
                <w:szCs w:val="22"/>
                <w:lang w:eastAsia="en-GB" w:bidi="ar-SA"/>
              </w:rPr>
            </w:pPr>
          </w:p>
          <w:p w14:paraId="7C6BE0DA" w14:textId="75A064A2" w:rsidR="003B522E" w:rsidRDefault="003B522E" w:rsidP="003B522E">
            <w:pPr>
              <w:widowControl/>
              <w:autoSpaceDE w:val="0"/>
              <w:autoSpaceDN w:val="0"/>
              <w:adjustRightInd w:val="0"/>
              <w:rPr>
                <w:rFonts w:cs="Arial"/>
                <w:b w:val="0"/>
                <w:sz w:val="20"/>
                <w:szCs w:val="22"/>
                <w:lang w:eastAsia="en-GB" w:bidi="ar-SA"/>
              </w:rPr>
            </w:pPr>
            <w:r>
              <w:rPr>
                <w:rFonts w:cs="Arial"/>
                <w:b w:val="0"/>
                <w:sz w:val="20"/>
                <w:szCs w:val="22"/>
                <w:lang w:eastAsia="en-GB" w:bidi="ar-SA"/>
              </w:rPr>
              <w:t>T</w:t>
            </w:r>
            <w:r w:rsidRPr="003B522E">
              <w:rPr>
                <w:rFonts w:cs="Arial"/>
                <w:b w:val="0"/>
                <w:sz w:val="20"/>
                <w:szCs w:val="22"/>
                <w:lang w:eastAsia="en-GB" w:bidi="ar-SA"/>
              </w:rPr>
              <w:t>here is a risk a consumer may erroneously rely on products containing these substances as, in-effect, substitutes/supplements to antimicrobials, i.e. antibiotics.</w:t>
            </w:r>
          </w:p>
          <w:p w14:paraId="386AD7C6" w14:textId="2B7B0907" w:rsidR="00615DF2" w:rsidRDefault="00615DF2" w:rsidP="00615DF2">
            <w:pPr>
              <w:pStyle w:val="Default"/>
              <w:rPr>
                <w:rFonts w:ascii="Arial" w:hAnsi="Arial" w:cs="Arial"/>
                <w:b w:val="0"/>
                <w:sz w:val="20"/>
                <w:szCs w:val="20"/>
              </w:rPr>
            </w:pPr>
          </w:p>
        </w:tc>
        <w:tc>
          <w:tcPr>
            <w:tcW w:w="2522" w:type="dxa"/>
            <w:tcBorders>
              <w:left w:val="single" w:sz="4" w:space="0" w:color="auto"/>
              <w:right w:val="single" w:sz="4" w:space="0" w:color="auto"/>
            </w:tcBorders>
          </w:tcPr>
          <w:p w14:paraId="75E490A8" w14:textId="458DB522" w:rsidR="00615DF2" w:rsidRPr="000F7B31" w:rsidRDefault="00615DF2" w:rsidP="00615DF2">
            <w:pPr>
              <w:pStyle w:val="FSTableText"/>
              <w:cnfStyle w:val="000000010000" w:firstRow="0" w:lastRow="0" w:firstColumn="0" w:lastColumn="0" w:oddVBand="0" w:evenVBand="0" w:oddHBand="0" w:evenHBand="1" w:firstRowFirstColumn="0" w:firstRowLastColumn="0" w:lastRowFirstColumn="0" w:lastRowLastColumn="0"/>
            </w:pPr>
            <w:r>
              <w:t xml:space="preserve">QLD Health </w:t>
            </w:r>
          </w:p>
        </w:tc>
        <w:tc>
          <w:tcPr>
            <w:tcW w:w="5720" w:type="dxa"/>
            <w:tcBorders>
              <w:left w:val="single" w:sz="4" w:space="0" w:color="auto"/>
            </w:tcBorders>
          </w:tcPr>
          <w:p w14:paraId="1832F061" w14:textId="40F914E0" w:rsidR="003B522E" w:rsidRPr="003B522E" w:rsidRDefault="003B522E" w:rsidP="003B522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3B522E">
              <w:rPr>
                <w:rFonts w:cs="Arial"/>
                <w:sz w:val="20"/>
                <w:szCs w:val="20"/>
              </w:rPr>
              <w:t xml:space="preserve">The applicant has not sought to add a food-health relationship to Schedule 4, for either a general level health or a high level health claim. </w:t>
            </w:r>
          </w:p>
          <w:p w14:paraId="753C6BE3" w14:textId="1E967C77" w:rsidR="003B522E" w:rsidRDefault="003B522E" w:rsidP="003B522E">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2A03DB94" w14:textId="77777777" w:rsidR="003B522E" w:rsidRDefault="003B522E" w:rsidP="003B522E">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In relation to FSFYC, the existing prohibition for therapeutic claims and provisions for high level health claims (including preapproval) will apply.  </w:t>
            </w:r>
          </w:p>
          <w:p w14:paraId="5C8E730B" w14:textId="67D15CF9" w:rsidR="00615DF2" w:rsidRDefault="00615DF2" w:rsidP="00615DF2">
            <w:pPr>
              <w:cnfStyle w:val="000000010000" w:firstRow="0" w:lastRow="0" w:firstColumn="0" w:lastColumn="0" w:oddVBand="0" w:evenVBand="0" w:oddHBand="0" w:evenHBand="1" w:firstRowFirstColumn="0" w:firstRowLastColumn="0" w:lastRowFirstColumn="0" w:lastRowLastColumn="0"/>
              <w:rPr>
                <w:sz w:val="20"/>
              </w:rPr>
            </w:pPr>
          </w:p>
        </w:tc>
      </w:tr>
      <w:tr w:rsidR="003B522E" w14:paraId="5207369C" w14:textId="77777777" w:rsidTr="00D13D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533E20E1" w14:textId="72A766AD" w:rsidR="003B522E" w:rsidRDefault="003B522E" w:rsidP="00615DF2">
            <w:pPr>
              <w:pStyle w:val="Default"/>
              <w:rPr>
                <w:rFonts w:ascii="Arial" w:hAnsi="Arial" w:cs="Arial"/>
                <w:b w:val="0"/>
                <w:sz w:val="20"/>
                <w:szCs w:val="20"/>
              </w:rPr>
            </w:pPr>
            <w:r>
              <w:rPr>
                <w:rFonts w:ascii="Arial" w:hAnsi="Arial" w:cs="Arial"/>
                <w:b w:val="0"/>
                <w:sz w:val="20"/>
                <w:szCs w:val="20"/>
              </w:rPr>
              <w:t>Recommend the general prohibition on health claims should also apply to FSFYC</w:t>
            </w:r>
          </w:p>
          <w:p w14:paraId="462947A0" w14:textId="6C33062F" w:rsidR="003B522E" w:rsidRPr="003B522E" w:rsidRDefault="003B522E" w:rsidP="003B522E">
            <w:pPr>
              <w:widowControl/>
              <w:autoSpaceDE w:val="0"/>
              <w:autoSpaceDN w:val="0"/>
              <w:adjustRightInd w:val="0"/>
              <w:rPr>
                <w:rFonts w:cs="Arial"/>
                <w:b w:val="0"/>
                <w:sz w:val="20"/>
                <w:szCs w:val="20"/>
              </w:rPr>
            </w:pPr>
          </w:p>
        </w:tc>
        <w:tc>
          <w:tcPr>
            <w:tcW w:w="2522" w:type="dxa"/>
            <w:tcBorders>
              <w:left w:val="single" w:sz="4" w:space="0" w:color="auto"/>
              <w:right w:val="single" w:sz="4" w:space="0" w:color="auto"/>
            </w:tcBorders>
          </w:tcPr>
          <w:p w14:paraId="38ADA961" w14:textId="55623FB9" w:rsidR="003B522E" w:rsidRDefault="003B522E" w:rsidP="00615DF2">
            <w:pPr>
              <w:pStyle w:val="FSTableText"/>
              <w:cnfStyle w:val="000000100000" w:firstRow="0" w:lastRow="0" w:firstColumn="0" w:lastColumn="0" w:oddVBand="0" w:evenVBand="0" w:oddHBand="1" w:evenHBand="0" w:firstRowFirstColumn="0" w:firstRowLastColumn="0" w:lastRowFirstColumn="0" w:lastRowLastColumn="0"/>
            </w:pPr>
            <w:r>
              <w:t xml:space="preserve">QLD </w:t>
            </w:r>
            <w:r w:rsidR="00135695">
              <w:t xml:space="preserve">Health </w:t>
            </w:r>
          </w:p>
        </w:tc>
        <w:tc>
          <w:tcPr>
            <w:tcW w:w="5720" w:type="dxa"/>
            <w:tcBorders>
              <w:left w:val="single" w:sz="4" w:space="0" w:color="auto"/>
            </w:tcBorders>
          </w:tcPr>
          <w:p w14:paraId="7947C96C" w14:textId="1CBE6702" w:rsidR="003B522E" w:rsidRDefault="003B522E" w:rsidP="003B522E">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Expansion of the health claims framework and regulation is outside of the scope of Application A1155. </w:t>
            </w:r>
          </w:p>
        </w:tc>
      </w:tr>
      <w:tr w:rsidR="000D4ABD" w14:paraId="456CA42B" w14:textId="77777777" w:rsidTr="00232D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08" w:type="dxa"/>
            <w:gridSpan w:val="3"/>
          </w:tcPr>
          <w:p w14:paraId="4AA5604F" w14:textId="2D811B11" w:rsidR="000D4ABD" w:rsidRPr="00232D7C" w:rsidRDefault="000D4ABD" w:rsidP="00BC11D7">
            <w:pPr>
              <w:keepNext/>
              <w:keepLines/>
              <w:spacing w:before="120"/>
              <w:rPr>
                <w:rFonts w:cs="Arial"/>
                <w:bCs w:val="0"/>
                <w:color w:val="000000"/>
                <w:sz w:val="20"/>
                <w:szCs w:val="22"/>
                <w:lang w:val="en-AU" w:eastAsia="en-GB" w:bidi="ar-SA"/>
              </w:rPr>
            </w:pPr>
            <w:r w:rsidRPr="00232D7C">
              <w:t xml:space="preserve">Other issues </w:t>
            </w:r>
          </w:p>
        </w:tc>
      </w:tr>
      <w:tr w:rsidR="000D4ABD" w14:paraId="03AE3B3D" w14:textId="77777777" w:rsidTr="00D13D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0A8E916B" w14:textId="0A775E15" w:rsidR="003B522E" w:rsidRDefault="000D4ABD" w:rsidP="000D4ABD">
            <w:pPr>
              <w:pStyle w:val="FSTableText"/>
              <w:rPr>
                <w:b w:val="0"/>
              </w:rPr>
            </w:pPr>
            <w:r>
              <w:rPr>
                <w:b w:val="0"/>
              </w:rPr>
              <w:t>Considers the</w:t>
            </w:r>
            <w:r w:rsidR="003B522E">
              <w:rPr>
                <w:b w:val="0"/>
              </w:rPr>
              <w:t xml:space="preserve">re </w:t>
            </w:r>
            <w:r>
              <w:rPr>
                <w:b w:val="0"/>
              </w:rPr>
              <w:t>will</w:t>
            </w:r>
            <w:r w:rsidR="003B522E">
              <w:rPr>
                <w:b w:val="0"/>
              </w:rPr>
              <w:t xml:space="preserve"> be </w:t>
            </w:r>
            <w:r w:rsidRPr="00793F1D">
              <w:rPr>
                <w:b w:val="0"/>
              </w:rPr>
              <w:t>practical and resource difficulties enforcing potential</w:t>
            </w:r>
            <w:r>
              <w:rPr>
                <w:b w:val="0"/>
              </w:rPr>
              <w:t xml:space="preserve"> </w:t>
            </w:r>
            <w:r w:rsidRPr="00793F1D">
              <w:rPr>
                <w:b w:val="0"/>
              </w:rPr>
              <w:t>industry complaints regarding comparative beneficial nutrient content claims on FSFYC during the</w:t>
            </w:r>
            <w:r>
              <w:rPr>
                <w:b w:val="0"/>
              </w:rPr>
              <w:t xml:space="preserve"> </w:t>
            </w:r>
            <w:r w:rsidRPr="00793F1D">
              <w:rPr>
                <w:b w:val="0"/>
              </w:rPr>
              <w:t xml:space="preserve">proposed exclusivity period. </w:t>
            </w:r>
          </w:p>
          <w:p w14:paraId="002427B2" w14:textId="77777777" w:rsidR="003B522E" w:rsidRDefault="003B522E" w:rsidP="000D4ABD">
            <w:pPr>
              <w:pStyle w:val="FSTableText"/>
              <w:rPr>
                <w:b w:val="0"/>
              </w:rPr>
            </w:pPr>
          </w:p>
          <w:p w14:paraId="37EE438D" w14:textId="269368B1" w:rsidR="000D4ABD" w:rsidRPr="00CF229E" w:rsidRDefault="000D4ABD" w:rsidP="000D4ABD">
            <w:pPr>
              <w:pStyle w:val="FSTableText"/>
              <w:rPr>
                <w:b w:val="0"/>
              </w:rPr>
            </w:pPr>
            <w:r w:rsidRPr="00793F1D">
              <w:rPr>
                <w:b w:val="0"/>
              </w:rPr>
              <w:t>Such complaints would require allocat</w:t>
            </w:r>
            <w:r>
              <w:rPr>
                <w:b w:val="0"/>
              </w:rPr>
              <w:t xml:space="preserve">ation of </w:t>
            </w:r>
            <w:r w:rsidRPr="00793F1D">
              <w:rPr>
                <w:b w:val="0"/>
              </w:rPr>
              <w:t>limited</w:t>
            </w:r>
            <w:r>
              <w:rPr>
                <w:b w:val="0"/>
              </w:rPr>
              <w:t xml:space="preserve"> </w:t>
            </w:r>
            <w:r w:rsidRPr="00793F1D">
              <w:rPr>
                <w:b w:val="0"/>
              </w:rPr>
              <w:t>resources to undertake compliance and potential enforcement actions in the absence of a definitive</w:t>
            </w:r>
            <w:r>
              <w:rPr>
                <w:b w:val="0"/>
              </w:rPr>
              <w:t xml:space="preserve"> </w:t>
            </w:r>
            <w:r w:rsidRPr="00793F1D">
              <w:rPr>
                <w:b w:val="0"/>
              </w:rPr>
              <w:t>established Code Schedule 4 food-health relationship.</w:t>
            </w:r>
          </w:p>
        </w:tc>
        <w:tc>
          <w:tcPr>
            <w:tcW w:w="2522" w:type="dxa"/>
            <w:tcBorders>
              <w:left w:val="single" w:sz="4" w:space="0" w:color="auto"/>
              <w:right w:val="single" w:sz="4" w:space="0" w:color="auto"/>
            </w:tcBorders>
          </w:tcPr>
          <w:p w14:paraId="4AA236CA" w14:textId="42C4E886" w:rsidR="000D4ABD" w:rsidRDefault="000D4ABD" w:rsidP="000D4ABD">
            <w:pPr>
              <w:pStyle w:val="FSTableText"/>
              <w:cnfStyle w:val="000000100000" w:firstRow="0" w:lastRow="0" w:firstColumn="0" w:lastColumn="0" w:oddVBand="0" w:evenVBand="0" w:oddHBand="1" w:evenHBand="0" w:firstRowFirstColumn="0" w:firstRowLastColumn="0" w:lastRowFirstColumn="0" w:lastRowLastColumn="0"/>
            </w:pPr>
            <w:r>
              <w:t xml:space="preserve">QLD Health </w:t>
            </w:r>
          </w:p>
        </w:tc>
        <w:tc>
          <w:tcPr>
            <w:tcW w:w="5720" w:type="dxa"/>
            <w:tcBorders>
              <w:left w:val="single" w:sz="4" w:space="0" w:color="auto"/>
            </w:tcBorders>
          </w:tcPr>
          <w:p w14:paraId="4C1CB08F" w14:textId="6FF56A27" w:rsidR="000D4ABD" w:rsidRPr="00562618" w:rsidRDefault="00135695" w:rsidP="000D4AB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Noted. </w:t>
            </w:r>
          </w:p>
        </w:tc>
      </w:tr>
      <w:tr w:rsidR="000D4ABD" w14:paraId="441D5DF8" w14:textId="77777777" w:rsidTr="00D13D2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044B2EF2" w14:textId="5C33CB60" w:rsidR="000D4ABD" w:rsidRDefault="000D4ABD" w:rsidP="000D4ABD">
            <w:pPr>
              <w:pStyle w:val="FSTableText"/>
              <w:rPr>
                <w:b w:val="0"/>
              </w:rPr>
            </w:pPr>
            <w:r w:rsidRPr="00EA1D81">
              <w:rPr>
                <w:b w:val="0"/>
              </w:rPr>
              <w:t xml:space="preserve">FSFYC is an unnecessary product, not recommended by health care professionals and carry misleading claims.  </w:t>
            </w:r>
          </w:p>
        </w:tc>
        <w:tc>
          <w:tcPr>
            <w:tcW w:w="2522" w:type="dxa"/>
            <w:tcBorders>
              <w:left w:val="single" w:sz="4" w:space="0" w:color="auto"/>
              <w:right w:val="single" w:sz="4" w:space="0" w:color="auto"/>
            </w:tcBorders>
          </w:tcPr>
          <w:p w14:paraId="5354B329" w14:textId="3D6DDB5D" w:rsidR="000D4ABD" w:rsidRDefault="000D4ABD" w:rsidP="000D4ABD">
            <w:pPr>
              <w:pStyle w:val="FSTableText"/>
              <w:cnfStyle w:val="000000010000" w:firstRow="0" w:lastRow="0" w:firstColumn="0" w:lastColumn="0" w:oddVBand="0" w:evenVBand="0" w:oddHBand="0" w:evenHBand="1" w:firstRowFirstColumn="0" w:firstRowLastColumn="0" w:lastRowFirstColumn="0" w:lastRowLastColumn="0"/>
            </w:pPr>
            <w:r w:rsidRPr="00562618">
              <w:t>Breast feeding Australia Advocacy Facebook group</w:t>
            </w:r>
          </w:p>
        </w:tc>
        <w:tc>
          <w:tcPr>
            <w:tcW w:w="5720" w:type="dxa"/>
            <w:tcBorders>
              <w:left w:val="single" w:sz="4" w:space="0" w:color="auto"/>
            </w:tcBorders>
          </w:tcPr>
          <w:p w14:paraId="7369FD0A" w14:textId="6C60E4BB" w:rsidR="000D4ABD" w:rsidRDefault="000D4ABD" w:rsidP="000D4ABD">
            <w:pPr>
              <w:cnfStyle w:val="000000010000" w:firstRow="0" w:lastRow="0" w:firstColumn="0" w:lastColumn="0" w:oddVBand="0" w:evenVBand="0" w:oddHBand="0" w:evenHBand="1" w:firstRowFirstColumn="0" w:firstRowLastColumn="0" w:lastRowFirstColumn="0" w:lastRowLastColumn="0"/>
              <w:rPr>
                <w:sz w:val="20"/>
                <w:szCs w:val="20"/>
              </w:rPr>
            </w:pPr>
            <w:r w:rsidRPr="00562618">
              <w:rPr>
                <w:sz w:val="20"/>
                <w:szCs w:val="20"/>
              </w:rPr>
              <w:t>Noted</w:t>
            </w:r>
            <w:r>
              <w:rPr>
                <w:sz w:val="20"/>
                <w:szCs w:val="20"/>
              </w:rPr>
              <w:t>.</w:t>
            </w:r>
            <w:r w:rsidRPr="00562618">
              <w:rPr>
                <w:sz w:val="20"/>
                <w:szCs w:val="20"/>
              </w:rPr>
              <w:t xml:space="preserve"> </w:t>
            </w:r>
          </w:p>
        </w:tc>
      </w:tr>
      <w:tr w:rsidR="000D4ABD" w14:paraId="535ECBC0" w14:textId="77777777" w:rsidTr="00D13D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45375987" w14:textId="1EB04C03" w:rsidR="000D4ABD" w:rsidRDefault="000D4ABD" w:rsidP="000D4ABD">
            <w:pPr>
              <w:pStyle w:val="FSTableText"/>
              <w:rPr>
                <w:b w:val="0"/>
              </w:rPr>
            </w:pPr>
            <w:r w:rsidRPr="00EA1D81">
              <w:rPr>
                <w:b w:val="0"/>
              </w:rPr>
              <w:t xml:space="preserve">Concern that availability and marketing of infant formula is negatively impacting breast feeding rates resulting in negative </w:t>
            </w:r>
            <w:r>
              <w:rPr>
                <w:b w:val="0"/>
              </w:rPr>
              <w:t xml:space="preserve">cognitive and health outcomes. </w:t>
            </w:r>
            <w:r w:rsidRPr="00EA1D81">
              <w:rPr>
                <w:b w:val="0"/>
              </w:rPr>
              <w:t xml:space="preserve">FSANZ should reconsider the labelling and marketing restrictions to ensure the health and wellbeing of mothers and their infants is protected. </w:t>
            </w:r>
          </w:p>
        </w:tc>
        <w:tc>
          <w:tcPr>
            <w:tcW w:w="2522" w:type="dxa"/>
            <w:tcBorders>
              <w:left w:val="single" w:sz="4" w:space="0" w:color="auto"/>
              <w:right w:val="single" w:sz="4" w:space="0" w:color="auto"/>
            </w:tcBorders>
          </w:tcPr>
          <w:p w14:paraId="083D5ED3" w14:textId="77777777" w:rsidR="000D4ABD" w:rsidRPr="00562618" w:rsidRDefault="000D4ABD" w:rsidP="000D4ABD">
            <w:pPr>
              <w:cnfStyle w:val="000000100000" w:firstRow="0" w:lastRow="0" w:firstColumn="0" w:lastColumn="0" w:oddVBand="0" w:evenVBand="0" w:oddHBand="1" w:evenHBand="0" w:firstRowFirstColumn="0" w:firstRowLastColumn="0" w:lastRowFirstColumn="0" w:lastRowLastColumn="0"/>
              <w:rPr>
                <w:sz w:val="20"/>
                <w:szCs w:val="20"/>
              </w:rPr>
            </w:pPr>
            <w:r w:rsidRPr="00562618">
              <w:rPr>
                <w:sz w:val="20"/>
                <w:szCs w:val="20"/>
              </w:rPr>
              <w:t xml:space="preserve">Breast feeding Australia Advocacy Facebook group </w:t>
            </w:r>
          </w:p>
          <w:p w14:paraId="77726169" w14:textId="77777777" w:rsidR="000D4ABD" w:rsidRDefault="000D4ABD" w:rsidP="000D4ABD">
            <w:pPr>
              <w:pStyle w:val="FSTableText"/>
              <w:cnfStyle w:val="000000100000" w:firstRow="0" w:lastRow="0" w:firstColumn="0" w:lastColumn="0" w:oddVBand="0" w:evenVBand="0" w:oddHBand="1" w:evenHBand="0" w:firstRowFirstColumn="0" w:firstRowLastColumn="0" w:lastRowFirstColumn="0" w:lastRowLastColumn="0"/>
            </w:pPr>
          </w:p>
        </w:tc>
        <w:tc>
          <w:tcPr>
            <w:tcW w:w="5720" w:type="dxa"/>
            <w:tcBorders>
              <w:left w:val="single" w:sz="4" w:space="0" w:color="auto"/>
            </w:tcBorders>
          </w:tcPr>
          <w:p w14:paraId="7762365B" w14:textId="77777777" w:rsidR="000D4ABD" w:rsidRPr="00562618" w:rsidRDefault="000D4ABD" w:rsidP="000D4ABD">
            <w:pPr>
              <w:cnfStyle w:val="000000100000" w:firstRow="0" w:lastRow="0" w:firstColumn="0" w:lastColumn="0" w:oddVBand="0" w:evenVBand="0" w:oddHBand="1" w:evenHBand="0" w:firstRowFirstColumn="0" w:firstRowLastColumn="0" w:lastRowFirstColumn="0" w:lastRowLastColumn="0"/>
              <w:rPr>
                <w:sz w:val="20"/>
                <w:szCs w:val="20"/>
              </w:rPr>
            </w:pPr>
            <w:r w:rsidRPr="00562618">
              <w:rPr>
                <w:sz w:val="20"/>
                <w:szCs w:val="20"/>
              </w:rPr>
              <w:t xml:space="preserve">The Food Standards Code covers the labelling of infant formula products and FSFYC. The marketing and distribution of breast milk substitutes for industry are overseen by two voluntary agreements: </w:t>
            </w:r>
          </w:p>
          <w:p w14:paraId="0DCC314E" w14:textId="77777777" w:rsidR="000D4ABD" w:rsidRPr="00562618" w:rsidRDefault="000D4ABD" w:rsidP="000D4ABD">
            <w:pPr>
              <w:pStyle w:val="ListParagraph"/>
              <w:numPr>
                <w:ilvl w:val="0"/>
                <w:numId w:val="16"/>
              </w:numPr>
              <w:ind w:left="318"/>
              <w:cnfStyle w:val="000000100000" w:firstRow="0" w:lastRow="0" w:firstColumn="0" w:lastColumn="0" w:oddVBand="0" w:evenVBand="0" w:oddHBand="1" w:evenHBand="0" w:firstRowFirstColumn="0" w:firstRowLastColumn="0" w:lastRowFirstColumn="0" w:lastRowLastColumn="0"/>
              <w:rPr>
                <w:sz w:val="20"/>
                <w:szCs w:val="20"/>
              </w:rPr>
            </w:pPr>
            <w:r w:rsidRPr="00562618">
              <w:rPr>
                <w:sz w:val="20"/>
                <w:szCs w:val="20"/>
              </w:rPr>
              <w:t xml:space="preserve">the Australian Marketing in Australia of Infant Formulas: Manufacturers and Importers Agreement (the MAIF Agreement), and </w:t>
            </w:r>
          </w:p>
          <w:p w14:paraId="6D8C34B5" w14:textId="77777777" w:rsidR="000D4ABD" w:rsidRDefault="000D4ABD" w:rsidP="000D4ABD">
            <w:pPr>
              <w:pStyle w:val="ListParagraph"/>
              <w:numPr>
                <w:ilvl w:val="0"/>
                <w:numId w:val="16"/>
              </w:numPr>
              <w:ind w:left="318"/>
              <w:cnfStyle w:val="000000100000" w:firstRow="0" w:lastRow="0" w:firstColumn="0" w:lastColumn="0" w:oddVBand="0" w:evenVBand="0" w:oddHBand="1" w:evenHBand="0" w:firstRowFirstColumn="0" w:firstRowLastColumn="0" w:lastRowFirstColumn="0" w:lastRowLastColumn="0"/>
              <w:rPr>
                <w:sz w:val="20"/>
                <w:szCs w:val="20"/>
              </w:rPr>
            </w:pPr>
            <w:r w:rsidRPr="00562618">
              <w:rPr>
                <w:sz w:val="20"/>
                <w:szCs w:val="20"/>
              </w:rPr>
              <w:t xml:space="preserve">the New Zealand Infant Nutrition Council Code of Practice for the Marketing of Infant Formula (CoPMIF). </w:t>
            </w:r>
          </w:p>
          <w:p w14:paraId="36CEE683" w14:textId="77777777" w:rsidR="000D4ABD" w:rsidRDefault="000D4ABD" w:rsidP="000D4ABD">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p>
          <w:p w14:paraId="7A100362" w14:textId="79572195" w:rsidR="000D4ABD" w:rsidRDefault="000D4ABD" w:rsidP="000D4ABD">
            <w:pPr>
              <w:cnfStyle w:val="000000100000" w:firstRow="0" w:lastRow="0" w:firstColumn="0" w:lastColumn="0" w:oddVBand="0" w:evenVBand="0" w:oddHBand="1" w:evenHBand="0" w:firstRowFirstColumn="0" w:firstRowLastColumn="0" w:lastRowFirstColumn="0" w:lastRowLastColumn="0"/>
              <w:rPr>
                <w:sz w:val="20"/>
                <w:szCs w:val="20"/>
              </w:rPr>
            </w:pPr>
            <w:r w:rsidRPr="007B5530">
              <w:rPr>
                <w:rFonts w:cs="Arial"/>
                <w:sz w:val="20"/>
                <w:szCs w:val="20"/>
                <w:lang w:eastAsia="en-GB" w:bidi="ar-SA"/>
              </w:rPr>
              <w:t xml:space="preserve">These non-regulatory agreements specify restrictions for the marketing and distribution of breast milk substitutes for industry, including restrictions on products being advertised or otherwise promoted to the public. </w:t>
            </w:r>
          </w:p>
        </w:tc>
      </w:tr>
      <w:tr w:rsidR="000D4ABD" w14:paraId="74F2403E" w14:textId="77777777" w:rsidTr="00D13D2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66" w:type="dxa"/>
            <w:tcBorders>
              <w:right w:val="single" w:sz="4" w:space="0" w:color="auto"/>
            </w:tcBorders>
          </w:tcPr>
          <w:p w14:paraId="6E0C334E" w14:textId="77D0DBF9" w:rsidR="000D4ABD" w:rsidRPr="00EA1D81" w:rsidRDefault="00135695" w:rsidP="00135695">
            <w:pPr>
              <w:pStyle w:val="FSTableText"/>
              <w:rPr>
                <w:b w:val="0"/>
              </w:rPr>
            </w:pPr>
            <w:r w:rsidRPr="00135695">
              <w:rPr>
                <w:b w:val="0"/>
                <w:lang w:eastAsia="en-GB" w:bidi="ar-SA"/>
              </w:rPr>
              <w:t>The applicant</w:t>
            </w:r>
            <w:r w:rsidR="009E06BD">
              <w:rPr>
                <w:b w:val="0"/>
                <w:lang w:eastAsia="en-GB" w:bidi="ar-SA"/>
              </w:rPr>
              <w:t>’</w:t>
            </w:r>
            <w:r w:rsidRPr="00135695">
              <w:rPr>
                <w:b w:val="0"/>
                <w:lang w:eastAsia="en-GB" w:bidi="ar-SA"/>
              </w:rPr>
              <w:t xml:space="preserve">s trademarked name is a an implied health claim. This in addition to the ability of FSFYC to make claims presents a risk of cross promotion. </w:t>
            </w:r>
            <w:r>
              <w:rPr>
                <w:b w:val="0"/>
                <w:lang w:eastAsia="en-GB" w:bidi="ar-SA"/>
              </w:rPr>
              <w:t>This m</w:t>
            </w:r>
            <w:r w:rsidR="000D4ABD" w:rsidRPr="00135695">
              <w:rPr>
                <w:b w:val="0"/>
                <w:lang w:eastAsia="en-GB" w:bidi="ar-SA"/>
              </w:rPr>
              <w:t>ak</w:t>
            </w:r>
            <w:r>
              <w:rPr>
                <w:b w:val="0"/>
                <w:lang w:eastAsia="en-GB" w:bidi="ar-SA"/>
              </w:rPr>
              <w:t>es</w:t>
            </w:r>
            <w:r w:rsidR="000D4ABD" w:rsidRPr="00135695">
              <w:rPr>
                <w:b w:val="0"/>
                <w:lang w:eastAsia="en-GB" w:bidi="ar-SA"/>
              </w:rPr>
              <w:t xml:space="preserve"> it difficult for</w:t>
            </w:r>
            <w:r w:rsidRPr="00135695">
              <w:rPr>
                <w:b w:val="0"/>
                <w:lang w:eastAsia="en-GB" w:bidi="ar-SA"/>
              </w:rPr>
              <w:t xml:space="preserve"> </w:t>
            </w:r>
            <w:r w:rsidR="000D4ABD" w:rsidRPr="00135695">
              <w:rPr>
                <w:b w:val="0"/>
                <w:lang w:eastAsia="en-GB" w:bidi="ar-SA"/>
              </w:rPr>
              <w:t>consumers to make informed choices between a FSFYC in which a health claim may be made, and</w:t>
            </w:r>
            <w:r>
              <w:rPr>
                <w:b w:val="0"/>
                <w:lang w:eastAsia="en-GB" w:bidi="ar-SA"/>
              </w:rPr>
              <w:t xml:space="preserve"> </w:t>
            </w:r>
            <w:r w:rsidR="000D4ABD" w:rsidRPr="00135695">
              <w:rPr>
                <w:b w:val="0"/>
                <w:lang w:eastAsia="en-GB" w:bidi="ar-SA"/>
              </w:rPr>
              <w:t>an infant formula under the same trade name for which health claims are prohibited.</w:t>
            </w:r>
          </w:p>
        </w:tc>
        <w:tc>
          <w:tcPr>
            <w:tcW w:w="2522" w:type="dxa"/>
            <w:tcBorders>
              <w:left w:val="single" w:sz="4" w:space="0" w:color="auto"/>
              <w:right w:val="single" w:sz="4" w:space="0" w:color="auto"/>
            </w:tcBorders>
          </w:tcPr>
          <w:p w14:paraId="65192B19" w14:textId="6B5DC60A" w:rsidR="000D4ABD" w:rsidRPr="00562618" w:rsidRDefault="00135695" w:rsidP="000D4ABD">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QLD Health </w:t>
            </w:r>
          </w:p>
        </w:tc>
        <w:tc>
          <w:tcPr>
            <w:tcW w:w="5720" w:type="dxa"/>
            <w:tcBorders>
              <w:left w:val="single" w:sz="4" w:space="0" w:color="auto"/>
            </w:tcBorders>
          </w:tcPr>
          <w:p w14:paraId="1197505A" w14:textId="15391C91" w:rsidR="000D4ABD" w:rsidRPr="00562618" w:rsidRDefault="00D52167" w:rsidP="00D52167">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Refer to section 2.3.4.5. </w:t>
            </w:r>
            <w:r w:rsidR="00135695">
              <w:rPr>
                <w:sz w:val="20"/>
                <w:szCs w:val="20"/>
              </w:rPr>
              <w:t xml:space="preserve">This is outside the scope of this application. </w:t>
            </w:r>
          </w:p>
        </w:tc>
      </w:tr>
    </w:tbl>
    <w:p w14:paraId="794B3495" w14:textId="15CC4022" w:rsidR="001E7CF9" w:rsidRDefault="001E7CF9" w:rsidP="001E7CF9"/>
    <w:p w14:paraId="2B7A6021" w14:textId="77777777" w:rsidR="00CB3049" w:rsidRDefault="00CB3049" w:rsidP="00232D7C">
      <w:pPr>
        <w:pStyle w:val="FSTableHeading"/>
      </w:pPr>
    </w:p>
    <w:p w14:paraId="020BEA8F" w14:textId="7F4DEC77" w:rsidR="001E7CF9" w:rsidRDefault="001E7CF9" w:rsidP="00232D7C">
      <w:pPr>
        <w:pStyle w:val="FSTableHeading"/>
      </w:pPr>
      <w:r>
        <w:t>Table 3c: Drafting related issues</w:t>
      </w:r>
    </w:p>
    <w:p w14:paraId="0AF2AE4C" w14:textId="77777777" w:rsidR="001E7CF9" w:rsidRPr="00CB3049" w:rsidRDefault="001E7CF9" w:rsidP="001E7CF9">
      <w:pPr>
        <w:rPr>
          <w:sz w:val="12"/>
        </w:rPr>
      </w:pPr>
    </w:p>
    <w:tbl>
      <w:tblPr>
        <w:tblStyle w:val="GridTable4-Accent3"/>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2128"/>
        <w:gridCol w:w="6242"/>
      </w:tblGrid>
      <w:tr w:rsidR="001E7CF9" w14:paraId="19A3572A" w14:textId="77777777" w:rsidTr="004A15C0">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5238" w:type="dxa"/>
            <w:tcBorders>
              <w:top w:val="none" w:sz="0" w:space="0" w:color="auto"/>
              <w:left w:val="none" w:sz="0" w:space="0" w:color="auto"/>
              <w:bottom w:val="none" w:sz="0" w:space="0" w:color="auto"/>
              <w:right w:val="none" w:sz="0" w:space="0" w:color="auto"/>
            </w:tcBorders>
          </w:tcPr>
          <w:p w14:paraId="20D7534B" w14:textId="4AC6505F" w:rsidR="001E7CF9" w:rsidRDefault="001E7CF9" w:rsidP="001E7CF9">
            <w:r>
              <w:t xml:space="preserve">Issue </w:t>
            </w:r>
          </w:p>
        </w:tc>
        <w:tc>
          <w:tcPr>
            <w:tcW w:w="2128" w:type="dxa"/>
            <w:tcBorders>
              <w:top w:val="none" w:sz="0" w:space="0" w:color="auto"/>
              <w:left w:val="none" w:sz="0" w:space="0" w:color="auto"/>
              <w:bottom w:val="none" w:sz="0" w:space="0" w:color="auto"/>
              <w:right w:val="none" w:sz="0" w:space="0" w:color="auto"/>
            </w:tcBorders>
          </w:tcPr>
          <w:p w14:paraId="7FA32A4D" w14:textId="375E8DC6" w:rsidR="001E7CF9" w:rsidRDefault="001E7CF9" w:rsidP="001E7CF9">
            <w:pPr>
              <w:cnfStyle w:val="100000000000" w:firstRow="1" w:lastRow="0" w:firstColumn="0" w:lastColumn="0" w:oddVBand="0" w:evenVBand="0" w:oddHBand="0" w:evenHBand="0" w:firstRowFirstColumn="0" w:firstRowLastColumn="0" w:lastRowFirstColumn="0" w:lastRowLastColumn="0"/>
            </w:pPr>
            <w:r>
              <w:t xml:space="preserve">Raised by </w:t>
            </w:r>
          </w:p>
        </w:tc>
        <w:tc>
          <w:tcPr>
            <w:tcW w:w="6242" w:type="dxa"/>
            <w:tcBorders>
              <w:top w:val="none" w:sz="0" w:space="0" w:color="auto"/>
              <w:left w:val="none" w:sz="0" w:space="0" w:color="auto"/>
              <w:bottom w:val="none" w:sz="0" w:space="0" w:color="auto"/>
              <w:right w:val="none" w:sz="0" w:space="0" w:color="auto"/>
            </w:tcBorders>
          </w:tcPr>
          <w:p w14:paraId="319AC5CF" w14:textId="023E1696" w:rsidR="001E7CF9" w:rsidRDefault="001E7CF9" w:rsidP="001E7CF9">
            <w:pPr>
              <w:cnfStyle w:val="100000000000" w:firstRow="1" w:lastRow="0" w:firstColumn="0" w:lastColumn="0" w:oddVBand="0" w:evenVBand="0" w:oddHBand="0" w:evenHBand="0" w:firstRowFirstColumn="0" w:firstRowLastColumn="0" w:lastRowFirstColumn="0" w:lastRowLastColumn="0"/>
            </w:pPr>
            <w:r>
              <w:t xml:space="preserve">FSANZ response </w:t>
            </w:r>
          </w:p>
        </w:tc>
      </w:tr>
      <w:tr w:rsidR="001E7CF9" w14:paraId="2E7F7E5B" w14:textId="77777777" w:rsidTr="004A1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8" w:type="dxa"/>
            <w:gridSpan w:val="3"/>
          </w:tcPr>
          <w:p w14:paraId="0F2C387B" w14:textId="7CAF4BBC" w:rsidR="001E7CF9" w:rsidRDefault="001E7CF9" w:rsidP="00232D7C">
            <w:pPr>
              <w:spacing w:before="120"/>
            </w:pPr>
            <w:r>
              <w:t xml:space="preserve">Permission as a food produced using gene technology  </w:t>
            </w:r>
          </w:p>
        </w:tc>
      </w:tr>
      <w:tr w:rsidR="001E7CF9" w14:paraId="055F85B5" w14:textId="77777777" w:rsidTr="004A15C0">
        <w:trPr>
          <w:cantSplit/>
        </w:trPr>
        <w:tc>
          <w:tcPr>
            <w:cnfStyle w:val="001000000000" w:firstRow="0" w:lastRow="0" w:firstColumn="1" w:lastColumn="0" w:oddVBand="0" w:evenVBand="0" w:oddHBand="0" w:evenHBand="0" w:firstRowFirstColumn="0" w:firstRowLastColumn="0" w:lastRowFirstColumn="0" w:lastRowLastColumn="0"/>
            <w:tcW w:w="5238" w:type="dxa"/>
          </w:tcPr>
          <w:p w14:paraId="623E2965" w14:textId="60E30EB0" w:rsidR="001E7CF9" w:rsidRPr="001E7CF9" w:rsidRDefault="001E7CF9" w:rsidP="001E7CF9">
            <w:pPr>
              <w:pStyle w:val="FSTableText"/>
              <w:keepNext/>
              <w:keepLines/>
              <w:rPr>
                <w:b w:val="0"/>
              </w:rPr>
            </w:pPr>
            <w:r w:rsidRPr="001E7CF9">
              <w:rPr>
                <w:b w:val="0"/>
              </w:rPr>
              <w:t>Does not support approval of 2′-FL and LNnT as food produced using gene technology, should instead be regulated as</w:t>
            </w:r>
            <w:r w:rsidR="005B0A3D">
              <w:rPr>
                <w:b w:val="0"/>
              </w:rPr>
              <w:t xml:space="preserve"> </w:t>
            </w:r>
            <w:r w:rsidRPr="001E7CF9">
              <w:rPr>
                <w:b w:val="0"/>
              </w:rPr>
              <w:t>novel food</w:t>
            </w:r>
            <w:r w:rsidR="002C1144">
              <w:rPr>
                <w:b w:val="0"/>
              </w:rPr>
              <w:t>s</w:t>
            </w:r>
            <w:r w:rsidRPr="001E7CF9">
              <w:rPr>
                <w:b w:val="0"/>
              </w:rPr>
              <w:t>, noting:</w:t>
            </w:r>
          </w:p>
          <w:p w14:paraId="05C6F71D" w14:textId="77777777" w:rsidR="001E7CF9" w:rsidRPr="001E7CF9" w:rsidRDefault="001E7CF9" w:rsidP="001E7CF9">
            <w:pPr>
              <w:pStyle w:val="ListParagraph"/>
              <w:keepNext/>
              <w:keepLines/>
              <w:widowControl/>
              <w:numPr>
                <w:ilvl w:val="0"/>
                <w:numId w:val="13"/>
              </w:numPr>
              <w:ind w:left="308" w:hanging="286"/>
              <w:rPr>
                <w:rFonts w:cs="Arial"/>
                <w:b w:val="0"/>
                <w:sz w:val="20"/>
                <w:szCs w:val="20"/>
              </w:rPr>
            </w:pPr>
            <w:r w:rsidRPr="001E7CF9">
              <w:rPr>
                <w:rFonts w:cs="Arial"/>
                <w:b w:val="0"/>
                <w:sz w:val="20"/>
                <w:szCs w:val="20"/>
              </w:rPr>
              <w:t>2′-FL and LNnT meet the definition of non-traditional foods.</w:t>
            </w:r>
          </w:p>
          <w:p w14:paraId="3D02CAD5" w14:textId="77777777" w:rsidR="001E7CF9" w:rsidRPr="001E7CF9" w:rsidRDefault="001E7CF9" w:rsidP="001E7CF9">
            <w:pPr>
              <w:pStyle w:val="ListParagraph"/>
              <w:keepNext/>
              <w:keepLines/>
              <w:widowControl/>
              <w:numPr>
                <w:ilvl w:val="0"/>
                <w:numId w:val="13"/>
              </w:numPr>
              <w:ind w:left="308" w:hanging="286"/>
              <w:rPr>
                <w:rFonts w:cs="Arial"/>
                <w:b w:val="0"/>
                <w:sz w:val="20"/>
                <w:szCs w:val="20"/>
              </w:rPr>
            </w:pPr>
            <w:r w:rsidRPr="001E7CF9">
              <w:rPr>
                <w:rFonts w:cs="Arial"/>
                <w:b w:val="0"/>
                <w:sz w:val="20"/>
                <w:szCs w:val="20"/>
              </w:rPr>
              <w:t xml:space="preserve">The substances are highly purified and equivalent to same molecules from different sources. </w:t>
            </w:r>
          </w:p>
          <w:p w14:paraId="2F2C292B" w14:textId="77777777" w:rsidR="001E7CF9" w:rsidRPr="001E7CF9" w:rsidRDefault="001E7CF9" w:rsidP="001E7CF9">
            <w:pPr>
              <w:pStyle w:val="ListParagraph"/>
              <w:keepNext/>
              <w:keepLines/>
              <w:widowControl/>
              <w:numPr>
                <w:ilvl w:val="0"/>
                <w:numId w:val="13"/>
              </w:numPr>
              <w:ind w:left="308" w:hanging="286"/>
              <w:rPr>
                <w:rFonts w:cs="Arial"/>
                <w:b w:val="0"/>
                <w:sz w:val="20"/>
                <w:szCs w:val="20"/>
              </w:rPr>
            </w:pPr>
            <w:r w:rsidRPr="001E7CF9">
              <w:rPr>
                <w:rFonts w:cs="Arial"/>
                <w:b w:val="0"/>
                <w:sz w:val="20"/>
                <w:szCs w:val="20"/>
              </w:rPr>
              <w:t>2′-FL and LNnT are substantially different to GM plants currently listed in Schedule 26.</w:t>
            </w:r>
          </w:p>
          <w:p w14:paraId="4C341DA7" w14:textId="77777777" w:rsidR="001E7CF9" w:rsidRPr="001E7CF9" w:rsidRDefault="001E7CF9" w:rsidP="001E7CF9">
            <w:pPr>
              <w:pStyle w:val="ListParagraph"/>
              <w:keepNext/>
              <w:keepLines/>
              <w:widowControl/>
              <w:numPr>
                <w:ilvl w:val="0"/>
                <w:numId w:val="13"/>
              </w:numPr>
              <w:ind w:left="308" w:hanging="286"/>
              <w:rPr>
                <w:rFonts w:cs="Arial"/>
                <w:b w:val="0"/>
                <w:sz w:val="20"/>
                <w:szCs w:val="20"/>
              </w:rPr>
            </w:pPr>
            <w:r w:rsidRPr="001E7CF9">
              <w:rPr>
                <w:rFonts w:cs="Arial"/>
                <w:b w:val="0"/>
                <w:sz w:val="20"/>
                <w:szCs w:val="20"/>
              </w:rPr>
              <w:t xml:space="preserve">The substances are regulated as novel foods internationally (e.g. EU and US). </w:t>
            </w:r>
          </w:p>
          <w:p w14:paraId="6C1F4152" w14:textId="06627101" w:rsidR="001E7CF9" w:rsidRPr="001E7CF9" w:rsidRDefault="001E7CF9" w:rsidP="001E7CF9">
            <w:pPr>
              <w:pStyle w:val="ListParagraph"/>
              <w:keepNext/>
              <w:keepLines/>
              <w:widowControl/>
              <w:numPr>
                <w:ilvl w:val="0"/>
                <w:numId w:val="13"/>
              </w:numPr>
              <w:ind w:left="308" w:hanging="286"/>
              <w:rPr>
                <w:sz w:val="20"/>
                <w:szCs w:val="20"/>
              </w:rPr>
            </w:pPr>
            <w:r w:rsidRPr="001E7CF9">
              <w:rPr>
                <w:rFonts w:cs="Arial"/>
                <w:b w:val="0"/>
                <w:sz w:val="20"/>
                <w:szCs w:val="20"/>
              </w:rPr>
              <w:t>The proposed approach may introduce a barrier to trade.</w:t>
            </w:r>
          </w:p>
        </w:tc>
        <w:tc>
          <w:tcPr>
            <w:tcW w:w="2128" w:type="dxa"/>
          </w:tcPr>
          <w:p w14:paraId="0619E5F2" w14:textId="0995E4F8" w:rsidR="001E7CF9" w:rsidRPr="001E7CF9" w:rsidRDefault="001E7CF9" w:rsidP="001E7CF9">
            <w:pPr>
              <w:cnfStyle w:val="000000000000" w:firstRow="0" w:lastRow="0" w:firstColumn="0" w:lastColumn="0" w:oddVBand="0" w:evenVBand="0" w:oddHBand="0" w:evenHBand="0" w:firstRowFirstColumn="0" w:firstRowLastColumn="0" w:lastRowFirstColumn="0" w:lastRowLastColumn="0"/>
              <w:rPr>
                <w:sz w:val="20"/>
                <w:szCs w:val="20"/>
              </w:rPr>
            </w:pPr>
            <w:r w:rsidRPr="001E7CF9">
              <w:rPr>
                <w:sz w:val="20"/>
                <w:szCs w:val="20"/>
              </w:rPr>
              <w:t>Glycom, INC, NZFGC, Nestle</w:t>
            </w:r>
          </w:p>
        </w:tc>
        <w:tc>
          <w:tcPr>
            <w:tcW w:w="6242" w:type="dxa"/>
          </w:tcPr>
          <w:p w14:paraId="567DBB02" w14:textId="77777777" w:rsidR="001E7CF9" w:rsidRPr="001E7CF9" w:rsidRDefault="001E7CF9" w:rsidP="001E7CF9">
            <w:pPr>
              <w:keepNext/>
              <w:keepLines/>
              <w:cnfStyle w:val="000000000000" w:firstRow="0" w:lastRow="0" w:firstColumn="0" w:lastColumn="0" w:oddVBand="0" w:evenVBand="0" w:oddHBand="0" w:evenHBand="0" w:firstRowFirstColumn="0" w:firstRowLastColumn="0" w:lastRowFirstColumn="0" w:lastRowLastColumn="0"/>
              <w:rPr>
                <w:rFonts w:cs="Arial"/>
                <w:sz w:val="20"/>
                <w:szCs w:val="20"/>
              </w:rPr>
            </w:pPr>
            <w:r w:rsidRPr="001E7CF9">
              <w:rPr>
                <w:sz w:val="20"/>
                <w:szCs w:val="20"/>
              </w:rPr>
              <w:t>As noted at 2</w:t>
            </w:r>
            <w:r w:rsidRPr="001E7CF9">
              <w:rPr>
                <w:sz w:val="20"/>
                <w:szCs w:val="20"/>
                <w:vertAlign w:val="superscript"/>
              </w:rPr>
              <w:t>nd</w:t>
            </w:r>
            <w:r w:rsidRPr="001E7CF9">
              <w:rPr>
                <w:sz w:val="20"/>
                <w:szCs w:val="20"/>
              </w:rPr>
              <w:t xml:space="preserve"> CFS, the Code operates differently to the regulatory framework for GM/novel foods in overseas regulations such as the EU and US. </w:t>
            </w:r>
            <w:r w:rsidRPr="001E7CF9">
              <w:rPr>
                <w:rFonts w:cs="Arial"/>
                <w:sz w:val="20"/>
                <w:szCs w:val="20"/>
              </w:rPr>
              <w:t xml:space="preserve">According to the definitions in the Code 2′-FL and LNnT are </w:t>
            </w:r>
            <w:r w:rsidRPr="001E7CF9">
              <w:rPr>
                <w:rFonts w:cs="Arial"/>
                <w:i/>
                <w:sz w:val="20"/>
                <w:szCs w:val="20"/>
              </w:rPr>
              <w:t xml:space="preserve">food produced using gene technology </w:t>
            </w:r>
            <w:r w:rsidRPr="001E7CF9">
              <w:rPr>
                <w:rFonts w:cs="Arial"/>
                <w:sz w:val="20"/>
                <w:szCs w:val="20"/>
              </w:rPr>
              <w:t xml:space="preserve">as they are derived from an organism modified by gene technology. </w:t>
            </w:r>
          </w:p>
          <w:p w14:paraId="307C2F6B" w14:textId="77777777" w:rsidR="001E7CF9" w:rsidRPr="001E7CF9" w:rsidRDefault="001E7CF9" w:rsidP="001E7CF9">
            <w:pPr>
              <w:keepNext/>
              <w:keepLines/>
              <w:cnfStyle w:val="000000000000" w:firstRow="0" w:lastRow="0" w:firstColumn="0" w:lastColumn="0" w:oddVBand="0" w:evenVBand="0" w:oddHBand="0" w:evenHBand="0" w:firstRowFirstColumn="0" w:firstRowLastColumn="0" w:lastRowFirstColumn="0" w:lastRowLastColumn="0"/>
              <w:rPr>
                <w:rFonts w:cs="Arial"/>
                <w:sz w:val="20"/>
                <w:szCs w:val="20"/>
              </w:rPr>
            </w:pPr>
          </w:p>
          <w:p w14:paraId="0180C8A2" w14:textId="16C4F393" w:rsidR="00EC5F9D" w:rsidRDefault="00EC5F9D" w:rsidP="001E7CF9">
            <w:pPr>
              <w:keepNext/>
              <w:keepLines/>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An express permission must be provided in the Code for any </w:t>
            </w:r>
            <w:r>
              <w:rPr>
                <w:rFonts w:cs="Arial"/>
                <w:i/>
                <w:sz w:val="20"/>
                <w:szCs w:val="20"/>
              </w:rPr>
              <w:t>food produced using gene technology</w:t>
            </w:r>
            <w:r>
              <w:rPr>
                <w:rFonts w:cs="Arial"/>
                <w:sz w:val="20"/>
                <w:szCs w:val="20"/>
              </w:rPr>
              <w:t xml:space="preserve"> to be sold, or used as an ingredient in a food for sale, in Australia and New Zealand (in accordance with section 1.1.1—10). </w:t>
            </w:r>
          </w:p>
          <w:p w14:paraId="1DB3BE64" w14:textId="77777777" w:rsidR="00EC5F9D" w:rsidRDefault="00EC5F9D" w:rsidP="001E7CF9">
            <w:pPr>
              <w:keepNext/>
              <w:keepLines/>
              <w:cnfStyle w:val="000000000000" w:firstRow="0" w:lastRow="0" w:firstColumn="0" w:lastColumn="0" w:oddVBand="0" w:evenVBand="0" w:oddHBand="0" w:evenHBand="0" w:firstRowFirstColumn="0" w:firstRowLastColumn="0" w:lastRowFirstColumn="0" w:lastRowLastColumn="0"/>
              <w:rPr>
                <w:rFonts w:cs="Arial"/>
                <w:sz w:val="20"/>
                <w:szCs w:val="20"/>
              </w:rPr>
            </w:pPr>
          </w:p>
          <w:p w14:paraId="2733E0BB" w14:textId="1EE3A167" w:rsidR="001E7CF9" w:rsidRPr="001E7CF9" w:rsidRDefault="001E7CF9" w:rsidP="001E7CF9">
            <w:pPr>
              <w:keepNext/>
              <w:keepLines/>
              <w:cnfStyle w:val="000000000000" w:firstRow="0" w:lastRow="0" w:firstColumn="0" w:lastColumn="0" w:oddVBand="0" w:evenVBand="0" w:oddHBand="0" w:evenHBand="0" w:firstRowFirstColumn="0" w:firstRowLastColumn="0" w:lastRowFirstColumn="0" w:lastRowLastColumn="0"/>
              <w:rPr>
                <w:rFonts w:cs="Arial"/>
                <w:sz w:val="20"/>
                <w:szCs w:val="20"/>
              </w:rPr>
            </w:pPr>
            <w:r w:rsidRPr="001E7CF9">
              <w:rPr>
                <w:rFonts w:cs="Arial"/>
                <w:sz w:val="20"/>
                <w:szCs w:val="20"/>
              </w:rPr>
              <w:t>Section 1.5.2—3 requires that a permitted food produced using gene technology is listed in Schedule 26, or is a substance permitted for use as a food additive (by Standard 1.3.1) or processing aid (by Standard 1.3.3). As 2′-FL and LNnT are not food additives or processing aids they must therefore be listed in Schedule 26 to comply with the requirements of the Code.</w:t>
            </w:r>
          </w:p>
          <w:p w14:paraId="0C413D01" w14:textId="77777777" w:rsidR="001E7CF9" w:rsidRPr="001E7CF9" w:rsidRDefault="001E7CF9" w:rsidP="001E7CF9">
            <w:pPr>
              <w:keepNext/>
              <w:keepLines/>
              <w:cnfStyle w:val="000000000000" w:firstRow="0" w:lastRow="0" w:firstColumn="0" w:lastColumn="0" w:oddVBand="0" w:evenVBand="0" w:oddHBand="0" w:evenHBand="0" w:firstRowFirstColumn="0" w:firstRowLastColumn="0" w:lastRowFirstColumn="0" w:lastRowLastColumn="0"/>
              <w:rPr>
                <w:rFonts w:cs="Arial"/>
                <w:sz w:val="20"/>
                <w:szCs w:val="20"/>
              </w:rPr>
            </w:pPr>
          </w:p>
          <w:p w14:paraId="2A9731D5" w14:textId="3DCE0563" w:rsidR="001E7CF9" w:rsidRPr="001E7CF9" w:rsidRDefault="001E7CF9" w:rsidP="001E7CF9">
            <w:pPr>
              <w:cnfStyle w:val="000000000000" w:firstRow="0" w:lastRow="0" w:firstColumn="0" w:lastColumn="0" w:oddVBand="0" w:evenVBand="0" w:oddHBand="0" w:evenHBand="0" w:firstRowFirstColumn="0" w:firstRowLastColumn="0" w:lastRowFirstColumn="0" w:lastRowLastColumn="0"/>
              <w:rPr>
                <w:sz w:val="20"/>
                <w:szCs w:val="20"/>
              </w:rPr>
            </w:pPr>
            <w:r w:rsidRPr="001E7CF9">
              <w:rPr>
                <w:sz w:val="20"/>
                <w:szCs w:val="20"/>
              </w:rPr>
              <w:t>Food for sale in Australia and New Zealand must meet the requirements of the Code. Regardless of approval as GM food in Australia and New Zealand, or as novel food overseas, the substances would be permitted to be used as ingredients in infant formula products and FSFYC which would support trade (noting, as discussed in section 2.3.5.5, it is highly unlikely that novel protein will be present in the final food in regard to GM labelling requirements). FSANZ therefore considers that the proposed permission is unlikely to negatively impact trade as noted in section 2.4.2.</w:t>
            </w:r>
          </w:p>
        </w:tc>
      </w:tr>
      <w:tr w:rsidR="001E7CF9" w14:paraId="4742B7CB" w14:textId="77777777" w:rsidTr="004A1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14:paraId="59168FCB" w14:textId="77777777" w:rsidR="001E7CF9" w:rsidRPr="0076228A" w:rsidRDefault="001E7CF9" w:rsidP="001E7CF9">
            <w:pPr>
              <w:pStyle w:val="FSTableText"/>
              <w:spacing w:before="60"/>
              <w:rPr>
                <w:b w:val="0"/>
              </w:rPr>
            </w:pPr>
            <w:r w:rsidRPr="0076228A">
              <w:rPr>
                <w:b w:val="0"/>
              </w:rPr>
              <w:t>Requests change to proposed approach for the approval. Proposes options to be consistent with safety assessment data:</w:t>
            </w:r>
          </w:p>
          <w:p w14:paraId="51973C55" w14:textId="77777777" w:rsidR="001E7CF9" w:rsidRPr="0076228A" w:rsidRDefault="001E7CF9" w:rsidP="001E7CF9">
            <w:pPr>
              <w:pStyle w:val="FSTableText"/>
              <w:numPr>
                <w:ilvl w:val="0"/>
                <w:numId w:val="6"/>
              </w:numPr>
              <w:ind w:left="310" w:hanging="284"/>
              <w:rPr>
                <w:b w:val="0"/>
              </w:rPr>
            </w:pPr>
            <w:r>
              <w:rPr>
                <w:b w:val="0"/>
              </w:rPr>
              <w:t>linking</w:t>
            </w:r>
            <w:r w:rsidRPr="0076228A">
              <w:rPr>
                <w:b w:val="0"/>
              </w:rPr>
              <w:t xml:space="preserve"> the exact production strains</w:t>
            </w:r>
            <w:r>
              <w:rPr>
                <w:b w:val="0"/>
              </w:rPr>
              <w:t xml:space="preserve"> OR</w:t>
            </w:r>
          </w:p>
          <w:p w14:paraId="31F25DB3" w14:textId="77777777" w:rsidR="001E7CF9" w:rsidRPr="0076228A" w:rsidRDefault="001E7CF9" w:rsidP="001E7CF9">
            <w:pPr>
              <w:pStyle w:val="FSTableText"/>
              <w:numPr>
                <w:ilvl w:val="0"/>
                <w:numId w:val="6"/>
              </w:numPr>
              <w:ind w:left="310" w:hanging="284"/>
              <w:rPr>
                <w:b w:val="0"/>
              </w:rPr>
            </w:pPr>
            <w:r>
              <w:rPr>
                <w:b w:val="0"/>
              </w:rPr>
              <w:t>l</w:t>
            </w:r>
            <w:r w:rsidRPr="0076228A">
              <w:rPr>
                <w:b w:val="0"/>
              </w:rPr>
              <w:t>inking the approval to the derivative of host strain used OR</w:t>
            </w:r>
          </w:p>
          <w:p w14:paraId="3A01672E" w14:textId="77777777" w:rsidR="001E7CF9" w:rsidRPr="0076228A" w:rsidRDefault="001E7CF9" w:rsidP="001E7CF9">
            <w:pPr>
              <w:pStyle w:val="FSTableText"/>
              <w:numPr>
                <w:ilvl w:val="0"/>
                <w:numId w:val="6"/>
              </w:numPr>
              <w:ind w:left="310" w:hanging="284"/>
              <w:rPr>
                <w:b w:val="0"/>
              </w:rPr>
            </w:pPr>
            <w:r>
              <w:rPr>
                <w:b w:val="0"/>
              </w:rPr>
              <w:t>l</w:t>
            </w:r>
            <w:r w:rsidRPr="0076228A">
              <w:rPr>
                <w:b w:val="0"/>
              </w:rPr>
              <w:t xml:space="preserve">inking to specific amino acid sequences </w:t>
            </w:r>
          </w:p>
          <w:p w14:paraId="62E030AB" w14:textId="77777777" w:rsidR="001E7CF9" w:rsidRDefault="001E7CF9" w:rsidP="001E7CF9">
            <w:pPr>
              <w:pStyle w:val="FSTableText"/>
            </w:pPr>
          </w:p>
          <w:p w14:paraId="3C99359D" w14:textId="77777777" w:rsidR="001E7CF9" w:rsidRDefault="001E7CF9" w:rsidP="001E7CF9"/>
        </w:tc>
        <w:tc>
          <w:tcPr>
            <w:tcW w:w="2128" w:type="dxa"/>
          </w:tcPr>
          <w:p w14:paraId="5CAA9F1A" w14:textId="4DB7EB9C" w:rsidR="001E7CF9" w:rsidRDefault="001E7CF9" w:rsidP="001E7CF9">
            <w:pPr>
              <w:cnfStyle w:val="000000100000" w:firstRow="0" w:lastRow="0" w:firstColumn="0" w:lastColumn="0" w:oddVBand="0" w:evenVBand="0" w:oddHBand="1" w:evenHBand="0" w:firstRowFirstColumn="0" w:firstRowLastColumn="0" w:lastRowFirstColumn="0" w:lastRowLastColumn="0"/>
            </w:pPr>
            <w:r w:rsidRPr="009426A6">
              <w:rPr>
                <w:sz w:val="20"/>
              </w:rPr>
              <w:t xml:space="preserve">Glycom </w:t>
            </w:r>
          </w:p>
        </w:tc>
        <w:tc>
          <w:tcPr>
            <w:tcW w:w="6242" w:type="dxa"/>
          </w:tcPr>
          <w:p w14:paraId="23D69132" w14:textId="18726843" w:rsidR="001E7CF9" w:rsidRPr="00022C47" w:rsidRDefault="001E7CF9" w:rsidP="001E7CF9">
            <w:pPr>
              <w:pStyle w:val="FSTableText"/>
              <w:spacing w:before="60"/>
              <w:cnfStyle w:val="000000100000" w:firstRow="0" w:lastRow="0" w:firstColumn="0" w:lastColumn="0" w:oddVBand="0" w:evenVBand="0" w:oddHBand="1" w:evenHBand="0" w:firstRowFirstColumn="0" w:firstRowLastColumn="0" w:lastRowFirstColumn="0" w:lastRowLastColumn="0"/>
            </w:pPr>
            <w:r w:rsidRPr="00022C47">
              <w:t xml:space="preserve">FSANZ is confident that the proposed drafting is consistent with our safety assessment. As the production strains SCR6 and MP572 have been superseded and are no longer used for commercial production. If the approval is linked to the specific strains named in the applications, the use of newer strains would require a new application to FSANZ. Linking the approval to </w:t>
            </w:r>
            <w:r w:rsidRPr="008D72EC">
              <w:rPr>
                <w:i/>
              </w:rPr>
              <w:t>E. coli</w:t>
            </w:r>
            <w:r w:rsidRPr="00022C47">
              <w:t xml:space="preserve"> K-12 maintains consistency with how other microbially-derived products are listed in the Code. Sub-species or strains are generally not listed unless necessary from a public health &amp; safety perspective</w:t>
            </w:r>
            <w:r w:rsidR="001114AC">
              <w:t>.</w:t>
            </w:r>
          </w:p>
          <w:p w14:paraId="798CF69D" w14:textId="77777777" w:rsidR="001E7CF9" w:rsidRPr="00022C47" w:rsidRDefault="001E7CF9" w:rsidP="001E7CF9">
            <w:pPr>
              <w:pStyle w:val="FSTableText"/>
              <w:cnfStyle w:val="000000100000" w:firstRow="0" w:lastRow="0" w:firstColumn="0" w:lastColumn="0" w:oddVBand="0" w:evenVBand="0" w:oddHBand="1" w:evenHBand="0" w:firstRowFirstColumn="0" w:firstRowLastColumn="0" w:lastRowFirstColumn="0" w:lastRowLastColumn="0"/>
            </w:pPr>
          </w:p>
          <w:p w14:paraId="18A684D6" w14:textId="28C310D0" w:rsidR="001E7CF9" w:rsidRDefault="001E7CF9" w:rsidP="001E7CF9">
            <w:pPr>
              <w:cnfStyle w:val="000000100000" w:firstRow="0" w:lastRow="0" w:firstColumn="0" w:lastColumn="0" w:oddVBand="0" w:evenVBand="0" w:oddHBand="1" w:evenHBand="0" w:firstRowFirstColumn="0" w:firstRowLastColumn="0" w:lastRowFirstColumn="0" w:lastRowLastColumn="0"/>
            </w:pPr>
            <w:r w:rsidRPr="00022C47">
              <w:rPr>
                <w:sz w:val="20"/>
                <w:szCs w:val="20"/>
              </w:rPr>
              <w:t>FSANZ understands that some proteins have isoforms with differing amino acid sequences. If a food producer cho</w:t>
            </w:r>
            <w:r w:rsidR="00733BF5">
              <w:rPr>
                <w:sz w:val="20"/>
                <w:szCs w:val="20"/>
              </w:rPr>
              <w:t>o</w:t>
            </w:r>
            <w:r w:rsidRPr="00022C47">
              <w:rPr>
                <w:sz w:val="20"/>
                <w:szCs w:val="20"/>
              </w:rPr>
              <w:t>ses to use a potentially different isoform of a protein from the same gene donor, the onus is on the producer to determine whether the different isoform meets the requirements in the Code. Linking approvals to specific amino acid sequences introduces unnecessary complexity and prescription into the drafted approval and is not justified from a safety perspective</w:t>
            </w:r>
            <w:r w:rsidR="001114AC">
              <w:rPr>
                <w:sz w:val="20"/>
                <w:szCs w:val="20"/>
              </w:rPr>
              <w:t>.</w:t>
            </w:r>
          </w:p>
        </w:tc>
      </w:tr>
      <w:tr w:rsidR="001E7CF9" w14:paraId="2B631168" w14:textId="77777777" w:rsidTr="004A15C0">
        <w:tc>
          <w:tcPr>
            <w:cnfStyle w:val="001000000000" w:firstRow="0" w:lastRow="0" w:firstColumn="1" w:lastColumn="0" w:oddVBand="0" w:evenVBand="0" w:oddHBand="0" w:evenHBand="0" w:firstRowFirstColumn="0" w:firstRowLastColumn="0" w:lastRowFirstColumn="0" w:lastRowLastColumn="0"/>
            <w:tcW w:w="5238" w:type="dxa"/>
          </w:tcPr>
          <w:p w14:paraId="6591CD79" w14:textId="6E2ECCCD" w:rsidR="001E7CF9" w:rsidRPr="00DE64FD" w:rsidRDefault="001E7CF9" w:rsidP="001E7CF9">
            <w:pPr>
              <w:rPr>
                <w:sz w:val="20"/>
              </w:rPr>
            </w:pPr>
            <w:r w:rsidRPr="00DE64FD">
              <w:rPr>
                <w:b w:val="0"/>
                <w:color w:val="000000" w:themeColor="text1"/>
                <w:sz w:val="20"/>
              </w:rPr>
              <w:t xml:space="preserve">Suggest the drafting in Schedule 26 clearly states that the approved 2’-FL and LNnT will not contain the source organism </w:t>
            </w:r>
          </w:p>
        </w:tc>
        <w:tc>
          <w:tcPr>
            <w:tcW w:w="2128" w:type="dxa"/>
          </w:tcPr>
          <w:p w14:paraId="258475EC" w14:textId="1473B56F" w:rsidR="001E7CF9" w:rsidRDefault="001E7CF9" w:rsidP="001E7CF9">
            <w:pPr>
              <w:cnfStyle w:val="000000000000" w:firstRow="0" w:lastRow="0" w:firstColumn="0" w:lastColumn="0" w:oddVBand="0" w:evenVBand="0" w:oddHBand="0" w:evenHBand="0" w:firstRowFirstColumn="0" w:firstRowLastColumn="0" w:lastRowFirstColumn="0" w:lastRowLastColumn="0"/>
            </w:pPr>
            <w:r w:rsidRPr="00022C47">
              <w:rPr>
                <w:color w:val="000000" w:themeColor="text1"/>
              </w:rPr>
              <w:t xml:space="preserve">Glycom </w:t>
            </w:r>
          </w:p>
        </w:tc>
        <w:tc>
          <w:tcPr>
            <w:tcW w:w="6242" w:type="dxa"/>
          </w:tcPr>
          <w:p w14:paraId="36041899" w14:textId="3D7F3593" w:rsidR="001E7CF9" w:rsidRPr="00022C47" w:rsidRDefault="001E7CF9" w:rsidP="001E7CF9">
            <w:pPr>
              <w:pStyle w:val="FSTableText"/>
              <w:spacing w:before="60"/>
              <w:cnfStyle w:val="000000000000" w:firstRow="0" w:lastRow="0" w:firstColumn="0" w:lastColumn="0" w:oddVBand="0" w:evenVBand="0" w:oddHBand="0" w:evenHBand="0" w:firstRowFirstColumn="0" w:firstRowLastColumn="0" w:lastRowFirstColumn="0" w:lastRowLastColumn="0"/>
              <w:rPr>
                <w:color w:val="000000" w:themeColor="text1"/>
              </w:rPr>
            </w:pPr>
            <w:r w:rsidRPr="00D13D28">
              <w:t>Schedule 3 outlines the identity and purity of the approved 2’-FL</w:t>
            </w:r>
            <w:r w:rsidRPr="00022C47">
              <w:rPr>
                <w:color w:val="000000" w:themeColor="text1"/>
              </w:rPr>
              <w:t xml:space="preserve"> and LNnT. It is the responsibility of the food business to ensure any use of the permitted substance </w:t>
            </w:r>
            <w:r w:rsidR="00EC5F9D">
              <w:rPr>
                <w:color w:val="000000" w:themeColor="text1"/>
              </w:rPr>
              <w:t>complies</w:t>
            </w:r>
            <w:r w:rsidRPr="00022C47">
              <w:rPr>
                <w:color w:val="000000" w:themeColor="text1"/>
              </w:rPr>
              <w:t xml:space="preserve"> </w:t>
            </w:r>
            <w:r w:rsidR="00EC5F9D">
              <w:rPr>
                <w:color w:val="000000" w:themeColor="text1"/>
              </w:rPr>
              <w:t xml:space="preserve">with </w:t>
            </w:r>
            <w:r w:rsidRPr="00022C47">
              <w:rPr>
                <w:color w:val="000000" w:themeColor="text1"/>
              </w:rPr>
              <w:t xml:space="preserve">all requirements of the Code. </w:t>
            </w:r>
          </w:p>
          <w:p w14:paraId="5630850A" w14:textId="77777777" w:rsidR="001E7CF9" w:rsidRPr="00022C47" w:rsidRDefault="001E7CF9" w:rsidP="001E7CF9">
            <w:pPr>
              <w:pStyle w:val="FSTableText"/>
              <w:cnfStyle w:val="000000000000" w:firstRow="0" w:lastRow="0" w:firstColumn="0" w:lastColumn="0" w:oddVBand="0" w:evenVBand="0" w:oddHBand="0" w:evenHBand="0" w:firstRowFirstColumn="0" w:firstRowLastColumn="0" w:lastRowFirstColumn="0" w:lastRowLastColumn="0"/>
              <w:rPr>
                <w:color w:val="000000" w:themeColor="text1"/>
              </w:rPr>
            </w:pPr>
          </w:p>
          <w:p w14:paraId="65ACA5D7" w14:textId="1E6CBA36" w:rsidR="001E7CF9" w:rsidRDefault="001E7CF9" w:rsidP="001E7CF9">
            <w:pPr>
              <w:cnfStyle w:val="000000000000" w:firstRow="0" w:lastRow="0" w:firstColumn="0" w:lastColumn="0" w:oddVBand="0" w:evenVBand="0" w:oddHBand="0" w:evenHBand="0" w:firstRowFirstColumn="0" w:firstRowLastColumn="0" w:lastRowFirstColumn="0" w:lastRowLastColumn="0"/>
            </w:pPr>
            <w:r w:rsidRPr="00022C47">
              <w:rPr>
                <w:color w:val="000000" w:themeColor="text1"/>
                <w:sz w:val="20"/>
                <w:szCs w:val="20"/>
              </w:rPr>
              <w:t xml:space="preserve">In the Code, the </w:t>
            </w:r>
            <w:r>
              <w:rPr>
                <w:color w:val="000000" w:themeColor="text1"/>
                <w:sz w:val="20"/>
                <w:szCs w:val="20"/>
              </w:rPr>
              <w:t xml:space="preserve">absence or </w:t>
            </w:r>
            <w:r w:rsidRPr="00022C47">
              <w:rPr>
                <w:color w:val="000000" w:themeColor="text1"/>
                <w:sz w:val="20"/>
                <w:szCs w:val="20"/>
              </w:rPr>
              <w:t xml:space="preserve">presence of novel DNA or novel protein determines whether the ingredient would need to be declared </w:t>
            </w:r>
            <w:r>
              <w:rPr>
                <w:color w:val="000000" w:themeColor="text1"/>
                <w:sz w:val="20"/>
                <w:szCs w:val="20"/>
              </w:rPr>
              <w:t>and</w:t>
            </w:r>
            <w:r w:rsidRPr="00022C47">
              <w:rPr>
                <w:color w:val="000000" w:themeColor="text1"/>
                <w:sz w:val="20"/>
                <w:szCs w:val="20"/>
              </w:rPr>
              <w:t xml:space="preserve"> is a factor determined by the food manufacturer not FSANZ.</w:t>
            </w:r>
          </w:p>
        </w:tc>
      </w:tr>
      <w:tr w:rsidR="001E7CF9" w14:paraId="68DB727B" w14:textId="77777777" w:rsidTr="004A1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14:paraId="129F96A1" w14:textId="099E7472" w:rsidR="001E7CF9" w:rsidRPr="00DE64FD" w:rsidRDefault="001E7CF9" w:rsidP="001E7CF9">
            <w:pPr>
              <w:rPr>
                <w:sz w:val="20"/>
              </w:rPr>
            </w:pPr>
            <w:r w:rsidRPr="00DE64FD">
              <w:rPr>
                <w:sz w:val="20"/>
              </w:rPr>
              <w:t>Specifications</w:t>
            </w:r>
          </w:p>
        </w:tc>
        <w:tc>
          <w:tcPr>
            <w:tcW w:w="2128" w:type="dxa"/>
          </w:tcPr>
          <w:p w14:paraId="0F625BC8" w14:textId="77777777" w:rsidR="001E7CF9" w:rsidRDefault="001E7CF9" w:rsidP="001E7CF9">
            <w:pPr>
              <w:cnfStyle w:val="000000100000" w:firstRow="0" w:lastRow="0" w:firstColumn="0" w:lastColumn="0" w:oddVBand="0" w:evenVBand="0" w:oddHBand="1" w:evenHBand="0" w:firstRowFirstColumn="0" w:firstRowLastColumn="0" w:lastRowFirstColumn="0" w:lastRowLastColumn="0"/>
            </w:pPr>
          </w:p>
        </w:tc>
        <w:tc>
          <w:tcPr>
            <w:tcW w:w="6242" w:type="dxa"/>
          </w:tcPr>
          <w:p w14:paraId="4B67D176" w14:textId="77777777" w:rsidR="001E7CF9" w:rsidRDefault="001E7CF9" w:rsidP="001E7CF9">
            <w:pPr>
              <w:cnfStyle w:val="000000100000" w:firstRow="0" w:lastRow="0" w:firstColumn="0" w:lastColumn="0" w:oddVBand="0" w:evenVBand="0" w:oddHBand="1" w:evenHBand="0" w:firstRowFirstColumn="0" w:firstRowLastColumn="0" w:lastRowFirstColumn="0" w:lastRowLastColumn="0"/>
            </w:pPr>
          </w:p>
        </w:tc>
      </w:tr>
      <w:tr w:rsidR="001E7CF9" w14:paraId="7C13E88E" w14:textId="77777777" w:rsidTr="004A15C0">
        <w:tc>
          <w:tcPr>
            <w:cnfStyle w:val="001000000000" w:firstRow="0" w:lastRow="0" w:firstColumn="1" w:lastColumn="0" w:oddVBand="0" w:evenVBand="0" w:oddHBand="0" w:evenHBand="0" w:firstRowFirstColumn="0" w:firstRowLastColumn="0" w:lastRowFirstColumn="0" w:lastRowLastColumn="0"/>
            <w:tcW w:w="5238" w:type="dxa"/>
          </w:tcPr>
          <w:p w14:paraId="1AF80459" w14:textId="3B151B92" w:rsidR="001E7CF9" w:rsidRPr="00DE64FD" w:rsidRDefault="001E7CF9" w:rsidP="001E7CF9">
            <w:pPr>
              <w:rPr>
                <w:sz w:val="20"/>
              </w:rPr>
            </w:pPr>
            <w:r w:rsidRPr="00DE64FD">
              <w:rPr>
                <w:b w:val="0"/>
                <w:sz w:val="20"/>
              </w:rPr>
              <w:t xml:space="preserve">Support removal of the methods of analysis (MOA) from the specifications. </w:t>
            </w:r>
          </w:p>
        </w:tc>
        <w:tc>
          <w:tcPr>
            <w:tcW w:w="2128" w:type="dxa"/>
          </w:tcPr>
          <w:p w14:paraId="37CB7FC2" w14:textId="33CF86A8" w:rsidR="001E7CF9" w:rsidRPr="00DE64FD" w:rsidRDefault="001E7CF9" w:rsidP="001E7CF9">
            <w:pPr>
              <w:cnfStyle w:val="000000000000" w:firstRow="0" w:lastRow="0" w:firstColumn="0" w:lastColumn="0" w:oddVBand="0" w:evenVBand="0" w:oddHBand="0" w:evenHBand="0" w:firstRowFirstColumn="0" w:firstRowLastColumn="0" w:lastRowFirstColumn="0" w:lastRowLastColumn="0"/>
              <w:rPr>
                <w:sz w:val="20"/>
                <w:szCs w:val="20"/>
              </w:rPr>
            </w:pPr>
            <w:r w:rsidRPr="00DE64FD">
              <w:rPr>
                <w:sz w:val="20"/>
                <w:szCs w:val="20"/>
              </w:rPr>
              <w:t>BASF, Fonterra, Glycom, INC</w:t>
            </w:r>
          </w:p>
        </w:tc>
        <w:tc>
          <w:tcPr>
            <w:tcW w:w="6242" w:type="dxa"/>
          </w:tcPr>
          <w:p w14:paraId="14F0FC83" w14:textId="3B6DB3F9" w:rsidR="001E7CF9" w:rsidRDefault="001E7CF9" w:rsidP="001E7CF9">
            <w:pPr>
              <w:cnfStyle w:val="000000000000" w:firstRow="0" w:lastRow="0" w:firstColumn="0" w:lastColumn="0" w:oddVBand="0" w:evenVBand="0" w:oddHBand="0" w:evenHBand="0" w:firstRowFirstColumn="0" w:firstRowLastColumn="0" w:lastRowFirstColumn="0" w:lastRowLastColumn="0"/>
            </w:pPr>
            <w:r w:rsidRPr="004861C3">
              <w:rPr>
                <w:rFonts w:cs="Arial"/>
                <w:sz w:val="20"/>
              </w:rPr>
              <w:t>Noted</w:t>
            </w:r>
          </w:p>
        </w:tc>
      </w:tr>
      <w:tr w:rsidR="001E7CF9" w14:paraId="2D73C4AA" w14:textId="77777777" w:rsidTr="004A1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14:paraId="7F02E025" w14:textId="7A9E223B" w:rsidR="001E7CF9" w:rsidRPr="00DE64FD" w:rsidRDefault="001E7CF9" w:rsidP="001E7CF9">
            <w:pPr>
              <w:rPr>
                <w:sz w:val="20"/>
              </w:rPr>
            </w:pPr>
            <w:r w:rsidRPr="00DE64FD">
              <w:rPr>
                <w:b w:val="0"/>
                <w:sz w:val="20"/>
              </w:rPr>
              <w:t>Support the approach to link permission to the gene-gene-donor information and not to the production strain as the latter approach would provide exclusive permission to the applicant, without the need for a specific brand name</w:t>
            </w:r>
          </w:p>
        </w:tc>
        <w:tc>
          <w:tcPr>
            <w:tcW w:w="2128" w:type="dxa"/>
          </w:tcPr>
          <w:p w14:paraId="2C5DDF0F" w14:textId="1F943C47" w:rsidR="001E7CF9" w:rsidRPr="00DE64FD" w:rsidRDefault="001E7CF9" w:rsidP="001E7CF9">
            <w:pPr>
              <w:cnfStyle w:val="000000100000" w:firstRow="0" w:lastRow="0" w:firstColumn="0" w:lastColumn="0" w:oddVBand="0" w:evenVBand="0" w:oddHBand="1" w:evenHBand="0" w:firstRowFirstColumn="0" w:firstRowLastColumn="0" w:lastRowFirstColumn="0" w:lastRowLastColumn="0"/>
              <w:rPr>
                <w:sz w:val="20"/>
                <w:szCs w:val="20"/>
              </w:rPr>
            </w:pPr>
            <w:r w:rsidRPr="00DE64FD">
              <w:rPr>
                <w:sz w:val="20"/>
                <w:szCs w:val="20"/>
              </w:rPr>
              <w:t xml:space="preserve">BASF </w:t>
            </w:r>
          </w:p>
        </w:tc>
        <w:tc>
          <w:tcPr>
            <w:tcW w:w="6242" w:type="dxa"/>
          </w:tcPr>
          <w:p w14:paraId="2843006B" w14:textId="14D9399A" w:rsidR="001E7CF9" w:rsidRDefault="001E7CF9" w:rsidP="001E7CF9">
            <w:pPr>
              <w:cnfStyle w:val="000000100000" w:firstRow="0" w:lastRow="0" w:firstColumn="0" w:lastColumn="0" w:oddVBand="0" w:evenVBand="0" w:oddHBand="1" w:evenHBand="0" w:firstRowFirstColumn="0" w:firstRowLastColumn="0" w:lastRowFirstColumn="0" w:lastRowLastColumn="0"/>
            </w:pPr>
            <w:r w:rsidRPr="004861C3">
              <w:rPr>
                <w:rFonts w:cs="Arial"/>
                <w:sz w:val="20"/>
              </w:rPr>
              <w:t xml:space="preserve">Noted </w:t>
            </w:r>
          </w:p>
        </w:tc>
      </w:tr>
      <w:tr w:rsidR="001E7CF9" w14:paraId="73F70D99" w14:textId="77777777" w:rsidTr="004A15C0">
        <w:tc>
          <w:tcPr>
            <w:cnfStyle w:val="001000000000" w:firstRow="0" w:lastRow="0" w:firstColumn="1" w:lastColumn="0" w:oddVBand="0" w:evenVBand="0" w:oddHBand="0" w:evenHBand="0" w:firstRowFirstColumn="0" w:firstRowLastColumn="0" w:lastRowFirstColumn="0" w:lastRowLastColumn="0"/>
            <w:tcW w:w="5238" w:type="dxa"/>
          </w:tcPr>
          <w:p w14:paraId="45C3D7FD" w14:textId="6C837932" w:rsidR="001E7CF9" w:rsidRPr="00DE64FD" w:rsidRDefault="001E7CF9" w:rsidP="001E7CF9">
            <w:pPr>
              <w:rPr>
                <w:sz w:val="20"/>
              </w:rPr>
            </w:pPr>
            <w:r w:rsidRPr="00DE64FD">
              <w:rPr>
                <w:b w:val="0"/>
                <w:sz w:val="20"/>
              </w:rPr>
              <w:t xml:space="preserve">Do not support a generic specification </w:t>
            </w:r>
          </w:p>
        </w:tc>
        <w:tc>
          <w:tcPr>
            <w:tcW w:w="2128" w:type="dxa"/>
          </w:tcPr>
          <w:p w14:paraId="0541CFB1" w14:textId="0ACD7279" w:rsidR="001E7CF9" w:rsidRPr="00DE64FD" w:rsidRDefault="001E7CF9" w:rsidP="001E7CF9">
            <w:pPr>
              <w:cnfStyle w:val="000000000000" w:firstRow="0" w:lastRow="0" w:firstColumn="0" w:lastColumn="0" w:oddVBand="0" w:evenVBand="0" w:oddHBand="0" w:evenHBand="0" w:firstRowFirstColumn="0" w:firstRowLastColumn="0" w:lastRowFirstColumn="0" w:lastRowLastColumn="0"/>
              <w:rPr>
                <w:sz w:val="20"/>
                <w:szCs w:val="20"/>
              </w:rPr>
            </w:pPr>
            <w:r w:rsidRPr="00DE64FD">
              <w:rPr>
                <w:rFonts w:cs="Arial"/>
                <w:sz w:val="20"/>
                <w:szCs w:val="20"/>
              </w:rPr>
              <w:t>Glycom</w:t>
            </w:r>
          </w:p>
        </w:tc>
        <w:tc>
          <w:tcPr>
            <w:tcW w:w="6242" w:type="dxa"/>
          </w:tcPr>
          <w:p w14:paraId="48C9776B" w14:textId="06AD3073" w:rsidR="001E7CF9" w:rsidRDefault="001E7CF9" w:rsidP="001E7CF9">
            <w:pPr>
              <w:cnfStyle w:val="000000000000" w:firstRow="0" w:lastRow="0" w:firstColumn="0" w:lastColumn="0" w:oddVBand="0" w:evenVBand="0" w:oddHBand="0" w:evenHBand="0" w:firstRowFirstColumn="0" w:firstRowLastColumn="0" w:lastRowFirstColumn="0" w:lastRowLastColumn="0"/>
            </w:pPr>
            <w:r w:rsidRPr="00D13D28">
              <w:rPr>
                <w:rFonts w:cs="Arial"/>
                <w:sz w:val="20"/>
              </w:rPr>
              <w:t xml:space="preserve">Noted </w:t>
            </w:r>
          </w:p>
        </w:tc>
      </w:tr>
      <w:tr w:rsidR="001E7CF9" w14:paraId="38F953FE" w14:textId="77777777" w:rsidTr="004A1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14:paraId="67D19C98" w14:textId="3D2870DD" w:rsidR="001E7CF9" w:rsidRPr="00DE64FD" w:rsidRDefault="001E7CF9" w:rsidP="001E7CF9">
            <w:pPr>
              <w:rPr>
                <w:sz w:val="20"/>
              </w:rPr>
            </w:pPr>
            <w:r w:rsidRPr="00DE64FD">
              <w:rPr>
                <w:b w:val="0"/>
                <w:bCs w:val="0"/>
                <w:sz w:val="20"/>
              </w:rPr>
              <w:t>Suggests generic specifications to be consistent with</w:t>
            </w:r>
            <w:r w:rsidRPr="00DE64FD">
              <w:rPr>
                <w:b w:val="0"/>
                <w:sz w:val="20"/>
              </w:rPr>
              <w:t xml:space="preserve"> the recent updated version in the EU regulation as the </w:t>
            </w:r>
            <w:r w:rsidRPr="00DE64FD">
              <w:rPr>
                <w:b w:val="0"/>
                <w:i/>
                <w:sz w:val="20"/>
              </w:rPr>
              <w:t>E.coli</w:t>
            </w:r>
            <w:r w:rsidRPr="00DE64FD">
              <w:rPr>
                <w:b w:val="0"/>
                <w:sz w:val="20"/>
              </w:rPr>
              <w:t xml:space="preserve"> K-12 specification covers different manufacturers’ specifications.</w:t>
            </w:r>
          </w:p>
        </w:tc>
        <w:tc>
          <w:tcPr>
            <w:tcW w:w="2128" w:type="dxa"/>
          </w:tcPr>
          <w:p w14:paraId="6F71505A" w14:textId="537E93E5" w:rsidR="001E7CF9" w:rsidRPr="00DE64FD" w:rsidRDefault="001E7CF9" w:rsidP="001E7CF9">
            <w:pPr>
              <w:cnfStyle w:val="000000100000" w:firstRow="0" w:lastRow="0" w:firstColumn="0" w:lastColumn="0" w:oddVBand="0" w:evenVBand="0" w:oddHBand="1" w:evenHBand="0" w:firstRowFirstColumn="0" w:firstRowLastColumn="0" w:lastRowFirstColumn="0" w:lastRowLastColumn="0"/>
              <w:rPr>
                <w:sz w:val="20"/>
                <w:szCs w:val="20"/>
              </w:rPr>
            </w:pPr>
            <w:r w:rsidRPr="00DE64FD">
              <w:rPr>
                <w:rFonts w:cs="Arial"/>
                <w:sz w:val="20"/>
                <w:szCs w:val="20"/>
              </w:rPr>
              <w:t>BASF, Fonterra, INC, DGC, NZFGC, Nestle</w:t>
            </w:r>
          </w:p>
        </w:tc>
        <w:tc>
          <w:tcPr>
            <w:tcW w:w="6242" w:type="dxa"/>
          </w:tcPr>
          <w:p w14:paraId="39FC8837" w14:textId="7B369A9C" w:rsidR="001E7CF9" w:rsidRDefault="001E7CF9" w:rsidP="001E7CF9">
            <w:pPr>
              <w:pStyle w:val="CommentText"/>
              <w:spacing w:before="60"/>
              <w:cnfStyle w:val="000000100000" w:firstRow="0" w:lastRow="0" w:firstColumn="0" w:lastColumn="0" w:oddVBand="0" w:evenVBand="0" w:oddHBand="1" w:evenHBand="0" w:firstRowFirstColumn="0" w:firstRowLastColumn="0" w:lastRowFirstColumn="0" w:lastRowLastColumn="0"/>
              <w:rPr>
                <w:rFonts w:cs="Arial"/>
              </w:rPr>
            </w:pPr>
            <w:r w:rsidRPr="00D13D28">
              <w:rPr>
                <w:rFonts w:cs="Arial"/>
                <w:szCs w:val="24"/>
              </w:rPr>
              <w:t>Australia and New Zealand regulations do not provide a</w:t>
            </w:r>
            <w:r>
              <w:rPr>
                <w:rFonts w:cs="Arial"/>
              </w:rPr>
              <w:t xml:space="preserve"> substantial equivalence notification system as </w:t>
            </w:r>
            <w:r w:rsidR="00733BF5">
              <w:rPr>
                <w:rFonts w:cs="Arial"/>
              </w:rPr>
              <w:t xml:space="preserve">per the </w:t>
            </w:r>
            <w:r>
              <w:rPr>
                <w:rFonts w:cs="Arial"/>
              </w:rPr>
              <w:t xml:space="preserve">EU </w:t>
            </w:r>
            <w:r w:rsidR="00733BF5">
              <w:rPr>
                <w:rFonts w:cs="Arial"/>
              </w:rPr>
              <w:t xml:space="preserve">regulations, noting the 2018 </w:t>
            </w:r>
            <w:r>
              <w:rPr>
                <w:rFonts w:cs="Arial"/>
              </w:rPr>
              <w:t>EU specification amendment</w:t>
            </w:r>
            <w:r w:rsidR="00733BF5">
              <w:rPr>
                <w:rFonts w:cs="Arial"/>
              </w:rPr>
              <w:t xml:space="preserve"> is based on this approach. </w:t>
            </w:r>
            <w:r>
              <w:rPr>
                <w:rFonts w:cs="Arial"/>
              </w:rPr>
              <w:t xml:space="preserve">As FSANZ’s assessment was based on the specifications provided in the application, these are the specifications proposed for insertion in Schedule 3 (without MOA’s as discussed in the response above). </w:t>
            </w:r>
          </w:p>
          <w:p w14:paraId="28027F86" w14:textId="77777777" w:rsidR="001E7CF9" w:rsidRDefault="001E7CF9" w:rsidP="001E7CF9">
            <w:pPr>
              <w:pStyle w:val="CommentText"/>
              <w:cnfStyle w:val="000000100000" w:firstRow="0" w:lastRow="0" w:firstColumn="0" w:lastColumn="0" w:oddVBand="0" w:evenVBand="0" w:oddHBand="1" w:evenHBand="0" w:firstRowFirstColumn="0" w:firstRowLastColumn="0" w:lastRowFirstColumn="0" w:lastRowLastColumn="0"/>
              <w:rPr>
                <w:rFonts w:cs="Arial"/>
              </w:rPr>
            </w:pPr>
          </w:p>
          <w:p w14:paraId="6924846E" w14:textId="02E2ED7B" w:rsidR="001E7CF9" w:rsidRDefault="001E7CF9" w:rsidP="001E7CF9">
            <w:pPr>
              <w:cnfStyle w:val="000000100000" w:firstRow="0" w:lastRow="0" w:firstColumn="0" w:lastColumn="0" w:oddVBand="0" w:evenVBand="0" w:oddHBand="1" w:evenHBand="0" w:firstRowFirstColumn="0" w:firstRowLastColumn="0" w:lastRowFirstColumn="0" w:lastRowLastColumn="0"/>
            </w:pPr>
            <w:r w:rsidRPr="008D72EC">
              <w:rPr>
                <w:rFonts w:cs="Arial"/>
                <w:sz w:val="20"/>
              </w:rPr>
              <w:t xml:space="preserve">As also noted above, FSANZ proposes linking approval to the specific gene-gene donor information, not the generic </w:t>
            </w:r>
            <w:r w:rsidRPr="008D72EC">
              <w:rPr>
                <w:rFonts w:cs="Arial"/>
                <w:i/>
                <w:sz w:val="20"/>
              </w:rPr>
              <w:t>E.coli</w:t>
            </w:r>
            <w:r w:rsidRPr="008D72EC">
              <w:rPr>
                <w:rFonts w:cs="Arial"/>
                <w:sz w:val="20"/>
              </w:rPr>
              <w:t xml:space="preserve"> K-12 host. </w:t>
            </w:r>
            <w:r w:rsidRPr="008D72EC">
              <w:rPr>
                <w:sz w:val="20"/>
              </w:rPr>
              <w:t xml:space="preserve">An application process exists for other companies to seek amendments to the Code for 2′-FL or LNnT based on their gene-gene donor information and relevant specifications (or to seek a generic specification), providing appropriate evidence and justification. </w:t>
            </w:r>
          </w:p>
        </w:tc>
      </w:tr>
      <w:tr w:rsidR="001E7CF9" w14:paraId="259A0739" w14:textId="77777777" w:rsidTr="004A15C0">
        <w:tc>
          <w:tcPr>
            <w:cnfStyle w:val="001000000000" w:firstRow="0" w:lastRow="0" w:firstColumn="1" w:lastColumn="0" w:oddVBand="0" w:evenVBand="0" w:oddHBand="0" w:evenHBand="0" w:firstRowFirstColumn="0" w:firstRowLastColumn="0" w:lastRowFirstColumn="0" w:lastRowLastColumn="0"/>
            <w:tcW w:w="5238" w:type="dxa"/>
          </w:tcPr>
          <w:p w14:paraId="12948F3C" w14:textId="26771D53" w:rsidR="001E7CF9" w:rsidRPr="00D13D28" w:rsidRDefault="001E7CF9" w:rsidP="001E7CF9">
            <w:pPr>
              <w:rPr>
                <w:b w:val="0"/>
                <w:bCs w:val="0"/>
              </w:rPr>
            </w:pPr>
            <w:r w:rsidRPr="00764CEC">
              <w:t>Exclusive permission</w:t>
            </w:r>
          </w:p>
        </w:tc>
        <w:tc>
          <w:tcPr>
            <w:tcW w:w="2128" w:type="dxa"/>
          </w:tcPr>
          <w:p w14:paraId="6847B940" w14:textId="77777777" w:rsidR="001E7CF9" w:rsidRPr="00D13D28" w:rsidRDefault="001E7CF9" w:rsidP="001E7CF9">
            <w:pPr>
              <w:cnfStyle w:val="000000000000" w:firstRow="0" w:lastRow="0" w:firstColumn="0" w:lastColumn="0" w:oddVBand="0" w:evenVBand="0" w:oddHBand="0" w:evenHBand="0" w:firstRowFirstColumn="0" w:firstRowLastColumn="0" w:lastRowFirstColumn="0" w:lastRowLastColumn="0"/>
              <w:rPr>
                <w:rFonts w:cs="Arial"/>
                <w:sz w:val="20"/>
              </w:rPr>
            </w:pPr>
          </w:p>
        </w:tc>
        <w:tc>
          <w:tcPr>
            <w:tcW w:w="6242" w:type="dxa"/>
          </w:tcPr>
          <w:p w14:paraId="229ABEE4" w14:textId="77777777" w:rsidR="001E7CF9" w:rsidRPr="00D13D28" w:rsidRDefault="001E7CF9" w:rsidP="001E7CF9">
            <w:pPr>
              <w:pStyle w:val="CommentText"/>
              <w:spacing w:before="60"/>
              <w:cnfStyle w:val="000000000000" w:firstRow="0" w:lastRow="0" w:firstColumn="0" w:lastColumn="0" w:oddVBand="0" w:evenVBand="0" w:oddHBand="0" w:evenHBand="0" w:firstRowFirstColumn="0" w:firstRowLastColumn="0" w:lastRowFirstColumn="0" w:lastRowLastColumn="0"/>
              <w:rPr>
                <w:rFonts w:cs="Arial"/>
                <w:szCs w:val="24"/>
              </w:rPr>
            </w:pPr>
          </w:p>
        </w:tc>
      </w:tr>
      <w:tr w:rsidR="001E7CF9" w14:paraId="045C7CAA" w14:textId="77777777" w:rsidTr="004A1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14:paraId="312D9E94" w14:textId="430337EF" w:rsidR="001E7CF9" w:rsidRPr="00DE64FD" w:rsidRDefault="001E7CF9" w:rsidP="001E7CF9">
            <w:pPr>
              <w:rPr>
                <w:b w:val="0"/>
                <w:bCs w:val="0"/>
                <w:sz w:val="20"/>
                <w:szCs w:val="20"/>
              </w:rPr>
            </w:pPr>
            <w:r w:rsidRPr="00DE64FD">
              <w:rPr>
                <w:b w:val="0"/>
                <w:bCs w:val="0"/>
                <w:sz w:val="20"/>
                <w:szCs w:val="20"/>
              </w:rPr>
              <w:t>Supports the exclusivity permissions. Approach is</w:t>
            </w:r>
            <w:r w:rsidRPr="00DE64FD">
              <w:rPr>
                <w:b w:val="0"/>
                <w:sz w:val="20"/>
                <w:szCs w:val="20"/>
              </w:rPr>
              <w:t xml:space="preserve"> justified by the significant investment required to develop the ingredients.</w:t>
            </w:r>
          </w:p>
        </w:tc>
        <w:tc>
          <w:tcPr>
            <w:tcW w:w="2128" w:type="dxa"/>
          </w:tcPr>
          <w:p w14:paraId="3E295E78" w14:textId="6D8593C1" w:rsidR="001E7CF9" w:rsidRPr="00DE64FD" w:rsidRDefault="001E7CF9" w:rsidP="001E7C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E64FD">
              <w:rPr>
                <w:sz w:val="20"/>
                <w:szCs w:val="20"/>
              </w:rPr>
              <w:t xml:space="preserve">Glycom A/S </w:t>
            </w:r>
          </w:p>
        </w:tc>
        <w:tc>
          <w:tcPr>
            <w:tcW w:w="6242" w:type="dxa"/>
          </w:tcPr>
          <w:p w14:paraId="5419FF1A" w14:textId="38823B57" w:rsidR="001E7CF9" w:rsidRPr="00DE64FD" w:rsidRDefault="001E7CF9" w:rsidP="001E7CF9">
            <w:pPr>
              <w:pStyle w:val="CommentText"/>
              <w:spacing w:before="60"/>
              <w:cnfStyle w:val="000000100000" w:firstRow="0" w:lastRow="0" w:firstColumn="0" w:lastColumn="0" w:oddVBand="0" w:evenVBand="0" w:oddHBand="1" w:evenHBand="0" w:firstRowFirstColumn="0" w:firstRowLastColumn="0" w:lastRowFirstColumn="0" w:lastRowLastColumn="0"/>
              <w:rPr>
                <w:rFonts w:cs="Arial"/>
              </w:rPr>
            </w:pPr>
            <w:r w:rsidRPr="00DE64FD">
              <w:t xml:space="preserve">Noted </w:t>
            </w:r>
          </w:p>
        </w:tc>
      </w:tr>
      <w:tr w:rsidR="001E7CF9" w14:paraId="1E65A562" w14:textId="77777777" w:rsidTr="004A15C0">
        <w:tc>
          <w:tcPr>
            <w:cnfStyle w:val="001000000000" w:firstRow="0" w:lastRow="0" w:firstColumn="1" w:lastColumn="0" w:oddVBand="0" w:evenVBand="0" w:oddHBand="0" w:evenHBand="0" w:firstRowFirstColumn="0" w:firstRowLastColumn="0" w:lastRowFirstColumn="0" w:lastRowLastColumn="0"/>
            <w:tcW w:w="5238" w:type="dxa"/>
          </w:tcPr>
          <w:p w14:paraId="55FC79F9" w14:textId="772B458E" w:rsidR="001E7CF9" w:rsidRPr="00DE64FD" w:rsidRDefault="001E7CF9" w:rsidP="001E7CF9">
            <w:pPr>
              <w:rPr>
                <w:b w:val="0"/>
                <w:bCs w:val="0"/>
                <w:sz w:val="20"/>
                <w:szCs w:val="20"/>
              </w:rPr>
            </w:pPr>
            <w:r w:rsidRPr="00DE64FD">
              <w:rPr>
                <w:b w:val="0"/>
                <w:bCs w:val="0"/>
                <w:sz w:val="20"/>
                <w:szCs w:val="20"/>
              </w:rPr>
              <w:t>Support the exclusivity permission but suggest it is</w:t>
            </w:r>
            <w:r w:rsidRPr="00DE64FD">
              <w:rPr>
                <w:b w:val="0"/>
                <w:sz w:val="20"/>
                <w:szCs w:val="20"/>
              </w:rPr>
              <w:t xml:space="preserve"> better located in schedule 3 or a preceding clause in schedule 26</w:t>
            </w:r>
          </w:p>
        </w:tc>
        <w:tc>
          <w:tcPr>
            <w:tcW w:w="2128" w:type="dxa"/>
          </w:tcPr>
          <w:p w14:paraId="51E02FDB" w14:textId="52184754" w:rsidR="001E7CF9" w:rsidRPr="00DE64FD" w:rsidRDefault="001E7CF9" w:rsidP="001E7C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DE64FD">
              <w:rPr>
                <w:sz w:val="20"/>
                <w:szCs w:val="20"/>
              </w:rPr>
              <w:t xml:space="preserve">Nestle </w:t>
            </w:r>
          </w:p>
        </w:tc>
        <w:tc>
          <w:tcPr>
            <w:tcW w:w="6242" w:type="dxa"/>
          </w:tcPr>
          <w:p w14:paraId="2098BBB4" w14:textId="08754D57" w:rsidR="001E7CF9" w:rsidRPr="00DE64FD" w:rsidRDefault="001E7CF9" w:rsidP="001E7CF9">
            <w:pPr>
              <w:pStyle w:val="CommentText"/>
              <w:spacing w:before="60"/>
              <w:cnfStyle w:val="000000000000" w:firstRow="0" w:lastRow="0" w:firstColumn="0" w:lastColumn="0" w:oddVBand="0" w:evenVBand="0" w:oddHBand="0" w:evenHBand="0" w:firstRowFirstColumn="0" w:firstRowLastColumn="0" w:lastRowFirstColumn="0" w:lastRowLastColumn="0"/>
              <w:rPr>
                <w:rFonts w:cs="Arial"/>
              </w:rPr>
            </w:pPr>
            <w:r w:rsidRPr="00DE64FD">
              <w:t xml:space="preserve">FSANZ considers those suggestions are impractical for the Code.  </w:t>
            </w:r>
          </w:p>
        </w:tc>
      </w:tr>
      <w:tr w:rsidR="001E7CF9" w14:paraId="7FAD8A21" w14:textId="77777777" w:rsidTr="004A1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14:paraId="52C05E7C" w14:textId="32F0769A" w:rsidR="001E7CF9" w:rsidRPr="00DE64FD" w:rsidRDefault="001E7CF9" w:rsidP="001E7CF9">
            <w:pPr>
              <w:rPr>
                <w:b w:val="0"/>
                <w:bCs w:val="0"/>
                <w:sz w:val="20"/>
                <w:szCs w:val="20"/>
              </w:rPr>
            </w:pPr>
            <w:r w:rsidRPr="00DE64FD">
              <w:rPr>
                <w:b w:val="0"/>
                <w:bCs w:val="0"/>
                <w:sz w:val="20"/>
                <w:szCs w:val="20"/>
              </w:rPr>
              <w:t>Do not support exclusivity. Understand the intention of</w:t>
            </w:r>
            <w:r w:rsidRPr="00DE64FD">
              <w:rPr>
                <w:b w:val="0"/>
                <w:sz w:val="20"/>
                <w:szCs w:val="20"/>
              </w:rPr>
              <w:t xml:space="preserve"> granting exclusivity with regard to the importance of data protection and/or first to market advantage to ensure commercial advantage for the first applicant. However as many companies produce these products across many different markets should not be considered ‘novel</w:t>
            </w:r>
            <w:r w:rsidR="005B0A3D">
              <w:rPr>
                <w:b w:val="0"/>
                <w:sz w:val="20"/>
                <w:szCs w:val="20"/>
              </w:rPr>
              <w:t>’</w:t>
            </w:r>
            <w:r w:rsidRPr="00DE64FD">
              <w:rPr>
                <w:b w:val="0"/>
                <w:sz w:val="20"/>
                <w:szCs w:val="20"/>
              </w:rPr>
              <w:t xml:space="preserve"> any longer.</w:t>
            </w:r>
          </w:p>
        </w:tc>
        <w:tc>
          <w:tcPr>
            <w:tcW w:w="2128" w:type="dxa"/>
          </w:tcPr>
          <w:p w14:paraId="38F58CA5" w14:textId="789A9C14" w:rsidR="001E7CF9" w:rsidRPr="00DE64FD" w:rsidRDefault="001E7CF9" w:rsidP="001E7C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E64FD">
              <w:rPr>
                <w:sz w:val="20"/>
                <w:szCs w:val="20"/>
              </w:rPr>
              <w:t>BASF</w:t>
            </w:r>
          </w:p>
        </w:tc>
        <w:tc>
          <w:tcPr>
            <w:tcW w:w="6242" w:type="dxa"/>
          </w:tcPr>
          <w:p w14:paraId="3F21685D" w14:textId="5C6AF8E8" w:rsidR="001E7CF9" w:rsidRPr="00DE64FD" w:rsidRDefault="001E7CF9" w:rsidP="00733BF5">
            <w:pPr>
              <w:pStyle w:val="CommentText"/>
              <w:spacing w:before="60"/>
              <w:cnfStyle w:val="000000100000" w:firstRow="0" w:lastRow="0" w:firstColumn="0" w:lastColumn="0" w:oddVBand="0" w:evenVBand="0" w:oddHBand="1" w:evenHBand="0" w:firstRowFirstColumn="0" w:firstRowLastColumn="0" w:lastRowFirstColumn="0" w:lastRowLastColumn="0"/>
              <w:rPr>
                <w:rFonts w:cs="Arial"/>
              </w:rPr>
            </w:pPr>
            <w:r w:rsidRPr="00DE64FD">
              <w:t>Noted</w:t>
            </w:r>
            <w:r w:rsidR="00733BF5">
              <w:t xml:space="preserve">. </w:t>
            </w:r>
            <w:r w:rsidR="00733BF5" w:rsidRPr="008D72EC">
              <w:t>2′-FL or LNnT</w:t>
            </w:r>
            <w:r w:rsidR="00733BF5">
              <w:t xml:space="preserve"> have been permited for ‘use as </w:t>
            </w:r>
            <w:r w:rsidR="00733BF5">
              <w:rPr>
                <w:rFonts w:cs="Arial"/>
                <w:lang w:val="en-AU"/>
              </w:rPr>
              <w:t>a nutritive substance’ not as novel foods.</w:t>
            </w:r>
          </w:p>
        </w:tc>
      </w:tr>
    </w:tbl>
    <w:p w14:paraId="25217895" w14:textId="31E074EE" w:rsidR="00D13D28" w:rsidRDefault="001E7CF9" w:rsidP="001E7CF9">
      <w:r>
        <w:t xml:space="preserve"> </w:t>
      </w:r>
    </w:p>
    <w:p w14:paraId="36263244" w14:textId="7F5578D8" w:rsidR="00093006" w:rsidRDefault="00093006" w:rsidP="007A53BF">
      <w:pPr>
        <w:rPr>
          <w:color w:val="00B050"/>
        </w:rPr>
      </w:pPr>
    </w:p>
    <w:p w14:paraId="0D09EC69" w14:textId="77777777" w:rsidR="00093006" w:rsidRDefault="00093006" w:rsidP="007A53BF">
      <w:pPr>
        <w:rPr>
          <w:color w:val="00B050"/>
        </w:rPr>
        <w:sectPr w:rsidR="00093006" w:rsidSect="00B461DB">
          <w:pgSz w:w="16838" w:h="11906" w:orient="landscape" w:code="9"/>
          <w:pgMar w:top="1418" w:right="1418" w:bottom="1418" w:left="1418" w:header="709" w:footer="709" w:gutter="0"/>
          <w:cols w:space="708"/>
          <w:docGrid w:linePitch="360"/>
        </w:sectPr>
      </w:pPr>
    </w:p>
    <w:p w14:paraId="2D0BF99D" w14:textId="77777777" w:rsidR="002C1A3B" w:rsidRPr="00932F14" w:rsidRDefault="002C1A3B" w:rsidP="002C1A3B">
      <w:pPr>
        <w:pStyle w:val="Heading2"/>
      </w:pPr>
      <w:bookmarkStart w:id="75" w:name="_Toc370223472"/>
      <w:bookmarkStart w:id="76" w:name="_Toc370225387"/>
      <w:bookmarkStart w:id="77" w:name="_Toc22303665"/>
      <w:bookmarkStart w:id="78" w:name="_Toc22650328"/>
      <w:bookmarkStart w:id="79" w:name="_Toc309291812"/>
      <w:bookmarkStart w:id="80" w:name="_Toc175381442"/>
      <w:bookmarkEnd w:id="69"/>
      <w:bookmarkEnd w:id="70"/>
      <w:bookmarkEnd w:id="71"/>
      <w:bookmarkEnd w:id="72"/>
      <w:bookmarkEnd w:id="73"/>
      <w:bookmarkEnd w:id="74"/>
      <w:r>
        <w:t>2.2</w:t>
      </w:r>
      <w:r>
        <w:tab/>
      </w:r>
      <w:r w:rsidRPr="00932F14">
        <w:t xml:space="preserve">Risk </w:t>
      </w:r>
      <w:r>
        <w:t>a</w:t>
      </w:r>
      <w:r w:rsidRPr="00932F14">
        <w:t>ssessment</w:t>
      </w:r>
      <w:bookmarkEnd w:id="75"/>
      <w:bookmarkEnd w:id="76"/>
      <w:bookmarkEnd w:id="77"/>
      <w:bookmarkEnd w:id="78"/>
      <w:r w:rsidRPr="00932F14">
        <w:t xml:space="preserve"> </w:t>
      </w:r>
    </w:p>
    <w:p w14:paraId="7EBFC34A" w14:textId="0633ACF3" w:rsidR="002F4E5F" w:rsidRPr="002F4E5F" w:rsidRDefault="002F4E5F" w:rsidP="00626169">
      <w:pPr>
        <w:keepNext/>
        <w:keepLines/>
      </w:pPr>
      <w:r w:rsidRPr="002F4E5F">
        <w:t xml:space="preserve">The </w:t>
      </w:r>
      <w:r w:rsidR="00D0239C">
        <w:t xml:space="preserve">majority of the </w:t>
      </w:r>
      <w:r w:rsidR="00B900D8">
        <w:t>safety</w:t>
      </w:r>
      <w:r w:rsidR="00504259">
        <w:t>,</w:t>
      </w:r>
      <w:r w:rsidR="00D0239C">
        <w:t xml:space="preserve"> </w:t>
      </w:r>
      <w:r w:rsidR="00B900D8">
        <w:t>technical</w:t>
      </w:r>
      <w:r w:rsidR="00B900D8" w:rsidRPr="009732FC">
        <w:t xml:space="preserve"> </w:t>
      </w:r>
      <w:r w:rsidR="00B900D8">
        <w:t xml:space="preserve">and health effects </w:t>
      </w:r>
      <w:r w:rsidR="00B900D8" w:rsidRPr="009732FC">
        <w:t xml:space="preserve">assessment </w:t>
      </w:r>
      <w:r w:rsidRPr="002F4E5F">
        <w:t>report (</w:t>
      </w:r>
      <w:hyperlink r:id="rId29" w:history="1">
        <w:r w:rsidRPr="00387107">
          <w:rPr>
            <w:rStyle w:val="Hyperlink"/>
          </w:rPr>
          <w:t>SD1</w:t>
        </w:r>
        <w:r w:rsidR="00F46A1E" w:rsidRPr="00387107">
          <w:rPr>
            <w:rStyle w:val="Hyperlink"/>
          </w:rPr>
          <w:t xml:space="preserve"> at 2</w:t>
        </w:r>
        <w:r w:rsidR="00F46A1E" w:rsidRPr="00387107">
          <w:rPr>
            <w:rStyle w:val="Hyperlink"/>
            <w:vertAlign w:val="superscript"/>
          </w:rPr>
          <w:t>nd</w:t>
        </w:r>
        <w:r w:rsidR="00F46A1E" w:rsidRPr="00387107">
          <w:rPr>
            <w:rStyle w:val="Hyperlink"/>
          </w:rPr>
          <w:t xml:space="preserve"> CFS</w:t>
        </w:r>
      </w:hyperlink>
      <w:r w:rsidRPr="002F4E5F">
        <w:t xml:space="preserve">) </w:t>
      </w:r>
      <w:r w:rsidR="00C55A82">
        <w:t>was not amended following the 2</w:t>
      </w:r>
      <w:r w:rsidR="00C55A82" w:rsidRPr="00C55A82">
        <w:rPr>
          <w:vertAlign w:val="superscript"/>
        </w:rPr>
        <w:t>nd</w:t>
      </w:r>
      <w:r w:rsidR="00C55A82">
        <w:t xml:space="preserve"> CFS. </w:t>
      </w:r>
      <w:r w:rsidR="00D0239C">
        <w:t>However following consideration of the submissions</w:t>
      </w:r>
      <w:r w:rsidR="00C24C4B">
        <w:t xml:space="preserve">, </w:t>
      </w:r>
      <w:r w:rsidR="00C24C4B" w:rsidRPr="005D2AD0">
        <w:rPr>
          <w:szCs w:val="20"/>
        </w:rPr>
        <w:t xml:space="preserve">FSANZ sought advice </w:t>
      </w:r>
      <w:r w:rsidR="005D2AD0" w:rsidRPr="005D2AD0">
        <w:rPr>
          <w:szCs w:val="20"/>
        </w:rPr>
        <w:t xml:space="preserve">on our assessment </w:t>
      </w:r>
      <w:r w:rsidR="00C24C4B" w:rsidRPr="005D2AD0">
        <w:rPr>
          <w:szCs w:val="20"/>
        </w:rPr>
        <w:t xml:space="preserve">from </w:t>
      </w:r>
      <w:r w:rsidR="005D2AD0" w:rsidRPr="005D2AD0">
        <w:rPr>
          <w:szCs w:val="20"/>
        </w:rPr>
        <w:t>an expert microbiologist, Associate Professor Andrew Holmes</w:t>
      </w:r>
      <w:r w:rsidR="005D2AD0" w:rsidRPr="005D2AD0">
        <w:rPr>
          <w:rStyle w:val="FootnoteReference"/>
          <w:szCs w:val="20"/>
        </w:rPr>
        <w:footnoteReference w:id="18"/>
      </w:r>
      <w:r w:rsidR="005D2AD0" w:rsidRPr="005D2AD0">
        <w:rPr>
          <w:szCs w:val="20"/>
        </w:rPr>
        <w:t>. Professor Holmes noted the approach</w:t>
      </w:r>
      <w:r w:rsidR="00D0239C" w:rsidRPr="005D2AD0">
        <w:rPr>
          <w:szCs w:val="20"/>
        </w:rPr>
        <w:t xml:space="preserve"> and </w:t>
      </w:r>
      <w:r w:rsidR="005D2AD0" w:rsidRPr="005D2AD0">
        <w:rPr>
          <w:szCs w:val="20"/>
        </w:rPr>
        <w:t>conclusions reached by FSANZ</w:t>
      </w:r>
      <w:r w:rsidR="005D2AD0">
        <w:rPr>
          <w:szCs w:val="20"/>
        </w:rPr>
        <w:t xml:space="preserve"> relating to the </w:t>
      </w:r>
      <w:r w:rsidR="005D2AD0" w:rsidRPr="005D2AD0">
        <w:rPr>
          <w:szCs w:val="20"/>
        </w:rPr>
        <w:t xml:space="preserve">anti-pathogenic and bifidogenic effects were appropriate and reasonable. </w:t>
      </w:r>
      <w:r w:rsidR="00626169" w:rsidRPr="00626169">
        <w:rPr>
          <w:szCs w:val="20"/>
        </w:rPr>
        <w:t>FSANZ also sought advice of FSANZ Fellow Pr</w:t>
      </w:r>
      <w:r w:rsidR="00626169">
        <w:rPr>
          <w:szCs w:val="20"/>
        </w:rPr>
        <w:t>ofessor Seppo Salminen o</w:t>
      </w:r>
      <w:r w:rsidR="00626169" w:rsidRPr="00626169">
        <w:rPr>
          <w:szCs w:val="20"/>
        </w:rPr>
        <w:t xml:space="preserve">n the assessment </w:t>
      </w:r>
      <w:r w:rsidR="00996AD6">
        <w:rPr>
          <w:szCs w:val="20"/>
        </w:rPr>
        <w:t xml:space="preserve">approach; he </w:t>
      </w:r>
      <w:r w:rsidR="00626169" w:rsidRPr="00626169">
        <w:rPr>
          <w:szCs w:val="20"/>
        </w:rPr>
        <w:t xml:space="preserve">supported the approach and conclusions of the assessment. </w:t>
      </w:r>
      <w:r w:rsidR="005D2AD0">
        <w:t xml:space="preserve">On this basis </w:t>
      </w:r>
      <w:r w:rsidR="00D0239C">
        <w:t>the health effects assessment has been summarised in SD1 to th</w:t>
      </w:r>
      <w:r w:rsidR="005D2AD0">
        <w:t xml:space="preserve">is </w:t>
      </w:r>
      <w:r w:rsidR="00D0239C">
        <w:t xml:space="preserve">approval report. </w:t>
      </w:r>
      <w:r w:rsidR="00C55A82">
        <w:t xml:space="preserve">The </w:t>
      </w:r>
      <w:r w:rsidR="00D0239C">
        <w:t xml:space="preserve">whole </w:t>
      </w:r>
      <w:r w:rsidR="00C55A82">
        <w:t>assessment is</w:t>
      </w:r>
      <w:r w:rsidR="00F46A1E">
        <w:t xml:space="preserve"> summarised in the following sections. </w:t>
      </w:r>
    </w:p>
    <w:p w14:paraId="395E81B6" w14:textId="4BEBADEB" w:rsidR="00797E0F" w:rsidRDefault="00FC5D95" w:rsidP="00B3515B">
      <w:pPr>
        <w:pStyle w:val="Heading3"/>
      </w:pPr>
      <w:bookmarkStart w:id="81" w:name="_Toc22303666"/>
      <w:bookmarkStart w:id="82" w:name="_Toc22650329"/>
      <w:r>
        <w:t>2.2.</w:t>
      </w:r>
      <w:r w:rsidR="00797E0F">
        <w:t>1</w:t>
      </w:r>
      <w:r w:rsidR="00797E0F">
        <w:tab/>
      </w:r>
      <w:r w:rsidR="00797E0F" w:rsidRPr="00C24ED4">
        <w:t>FSANZ</w:t>
      </w:r>
      <w:r w:rsidR="00797E0F">
        <w:t>’s</w:t>
      </w:r>
      <w:r w:rsidR="00797E0F" w:rsidRPr="00C24ED4">
        <w:t xml:space="preserve"> approach to the </w:t>
      </w:r>
      <w:r w:rsidR="00797E0F">
        <w:t>assessment</w:t>
      </w:r>
      <w:r w:rsidR="00564845">
        <w:t xml:space="preserve"> of </w:t>
      </w:r>
      <w:r w:rsidR="00564845" w:rsidRPr="00C24ED4">
        <w:t>evidence</w:t>
      </w:r>
      <w:bookmarkEnd w:id="81"/>
      <w:bookmarkEnd w:id="82"/>
    </w:p>
    <w:p w14:paraId="540B51FA" w14:textId="77777777" w:rsidR="002752C6" w:rsidRPr="00B012C9" w:rsidRDefault="00797E0F" w:rsidP="002752C6">
      <w:pPr>
        <w:rPr>
          <w:rFonts w:cs="Arial"/>
          <w:color w:val="000000" w:themeColor="text1"/>
        </w:rPr>
      </w:pPr>
      <w:r w:rsidRPr="00B012C9">
        <w:rPr>
          <w:color w:val="000000" w:themeColor="text1"/>
        </w:rPr>
        <w:t xml:space="preserve">FSANZ has conducted a comprehensive assessment following the internationally recognised risk analysis framework. The assessment was based on the best available scientific evidence as legislatively required. </w:t>
      </w:r>
      <w:r w:rsidR="002752C6" w:rsidRPr="00B012C9">
        <w:rPr>
          <w:rFonts w:cs="Arial"/>
          <w:color w:val="000000" w:themeColor="text1"/>
        </w:rPr>
        <w:t xml:space="preserve">The safety and composition of substances to be added to infant formula products is assessed with a particular focus on the target population and the intended special purpose of the food. Specific data relevant to the particular population group are required, including safety studies involving the exposure of very young animals. </w:t>
      </w:r>
    </w:p>
    <w:p w14:paraId="5EE36AB4" w14:textId="77777777" w:rsidR="002752C6" w:rsidRPr="00B012C9" w:rsidRDefault="002752C6" w:rsidP="002752C6">
      <w:pPr>
        <w:rPr>
          <w:rFonts w:cs="Arial"/>
          <w:color w:val="000000" w:themeColor="text1"/>
        </w:rPr>
      </w:pPr>
    </w:p>
    <w:p w14:paraId="5F1C0A92" w14:textId="5C1999B7" w:rsidR="002752C6" w:rsidRPr="00B012C9" w:rsidRDefault="002752C6" w:rsidP="002752C6">
      <w:pPr>
        <w:rPr>
          <w:rFonts w:cs="Arial"/>
          <w:color w:val="000000" w:themeColor="text1"/>
        </w:rPr>
      </w:pPr>
      <w:r w:rsidRPr="00B012C9">
        <w:rPr>
          <w:rFonts w:cs="Arial"/>
          <w:color w:val="000000" w:themeColor="text1"/>
        </w:rPr>
        <w:t xml:space="preserve">FSANZ undertakes a safety assessment using the detailed study reports, where possible, of all animal and human toxicity studies related to the substance under consideration. In assessing the quality of individual studies, including epidemiological studies, FSANZ assesses various elements of the study design and method. These include: the purpose of the study; appropriateness of the study design for the purpose; appropriateness of the instruments used to measure the outcome variables of interest; the duration of the study; and the appropriateness of the statistical analyses undertaken. </w:t>
      </w:r>
    </w:p>
    <w:p w14:paraId="5D2AD938" w14:textId="77777777" w:rsidR="002752C6" w:rsidRPr="00B012C9" w:rsidRDefault="002752C6" w:rsidP="002752C6">
      <w:pPr>
        <w:rPr>
          <w:rFonts w:cs="Arial"/>
          <w:color w:val="000000" w:themeColor="text1"/>
          <w:szCs w:val="22"/>
          <w:lang w:bidi="ar-SA"/>
        </w:rPr>
      </w:pPr>
    </w:p>
    <w:p w14:paraId="247C50C9" w14:textId="62440193" w:rsidR="002752C6" w:rsidRPr="00B012C9" w:rsidRDefault="002752C6" w:rsidP="002752C6">
      <w:pPr>
        <w:rPr>
          <w:rFonts w:cs="Arial"/>
          <w:color w:val="000000" w:themeColor="text1"/>
        </w:rPr>
      </w:pPr>
      <w:r w:rsidRPr="00B012C9">
        <w:rPr>
          <w:rFonts w:cs="Arial"/>
          <w:color w:val="000000" w:themeColor="text1"/>
        </w:rPr>
        <w:t>For the assessment of many toxicological endpoints, a weight of evidence approach is necessary, utilising the data from all the available studies in which the same or functionally related fluids, cells, tissues or organs have been studie</w:t>
      </w:r>
      <w:r w:rsidR="00963C56">
        <w:rPr>
          <w:rFonts w:cs="Arial"/>
          <w:color w:val="000000" w:themeColor="text1"/>
        </w:rPr>
        <w:t>d</w:t>
      </w:r>
      <w:r w:rsidRPr="00B012C9">
        <w:rPr>
          <w:rFonts w:cs="Arial"/>
          <w:color w:val="000000" w:themeColor="text1"/>
        </w:rPr>
        <w:t xml:space="preserve">. Similar findings across </w:t>
      </w:r>
      <w:r w:rsidR="000C06CA" w:rsidRPr="00B012C9">
        <w:rPr>
          <w:rFonts w:cs="Arial"/>
          <w:color w:val="000000" w:themeColor="text1"/>
        </w:rPr>
        <w:t>differen</w:t>
      </w:r>
      <w:r w:rsidR="000C06CA">
        <w:rPr>
          <w:rFonts w:cs="Arial"/>
          <w:color w:val="000000" w:themeColor="text1"/>
        </w:rPr>
        <w:t>t</w:t>
      </w:r>
      <w:r w:rsidR="000C06CA" w:rsidRPr="00B012C9">
        <w:rPr>
          <w:rFonts w:cs="Arial"/>
          <w:color w:val="000000" w:themeColor="text1"/>
        </w:rPr>
        <w:t xml:space="preserve"> </w:t>
      </w:r>
      <w:r w:rsidRPr="00B012C9">
        <w:rPr>
          <w:rFonts w:cs="Arial"/>
          <w:color w:val="000000" w:themeColor="text1"/>
        </w:rPr>
        <w:t xml:space="preserve">studies and evidence of dose-response relationships give added weight to the hazard characterisation. </w:t>
      </w:r>
    </w:p>
    <w:p w14:paraId="21355E39" w14:textId="34CA0C27" w:rsidR="00B012C9" w:rsidRDefault="00B012C9" w:rsidP="002752C6">
      <w:pPr>
        <w:rPr>
          <w:rFonts w:cs="Arial"/>
          <w:color w:val="000000" w:themeColor="text1"/>
        </w:rPr>
      </w:pPr>
    </w:p>
    <w:p w14:paraId="1E9DC0B3" w14:textId="7505378E" w:rsidR="00BC07DA" w:rsidRPr="00BC07DA" w:rsidRDefault="00BC07DA" w:rsidP="00BC07DA">
      <w:r>
        <w:rPr>
          <w:rFonts w:cs="Arial"/>
          <w:color w:val="000000" w:themeColor="text1"/>
        </w:rPr>
        <w:t xml:space="preserve">Assessment of </w:t>
      </w:r>
      <w:r w:rsidRPr="00BC07DA">
        <w:rPr>
          <w:rFonts w:cs="Arial"/>
          <w:color w:val="000000" w:themeColor="text1"/>
        </w:rPr>
        <w:t>nutritional safety, tolerance and the efficacy</w:t>
      </w:r>
      <w:r w:rsidR="00F82F3C">
        <w:rPr>
          <w:rFonts w:cs="Arial"/>
          <w:color w:val="000000" w:themeColor="text1"/>
        </w:rPr>
        <w:t xml:space="preserve"> also relies on a wei</w:t>
      </w:r>
      <w:r>
        <w:rPr>
          <w:rFonts w:cs="Arial"/>
          <w:color w:val="000000" w:themeColor="text1"/>
        </w:rPr>
        <w:t xml:space="preserve">ght of evidence approach. </w:t>
      </w:r>
      <w:r w:rsidR="00F82F3C">
        <w:rPr>
          <w:rFonts w:cs="Arial"/>
          <w:color w:val="000000" w:themeColor="text1"/>
        </w:rPr>
        <w:t>While infant studies are required, e</w:t>
      </w:r>
      <w:r w:rsidRPr="00BC07DA">
        <w:t>vidence from non-human studies add</w:t>
      </w:r>
      <w:r>
        <w:t>s</w:t>
      </w:r>
      <w:r w:rsidRPr="00BC07DA">
        <w:t xml:space="preserve"> weight to the determination of a substance’s role, particularly in understanding the mode of action</w:t>
      </w:r>
      <w:r w:rsidR="001C5FF9">
        <w:t xml:space="preserve"> and biological plausibility</w:t>
      </w:r>
      <w:r w:rsidRPr="00BC07DA">
        <w:t>.</w:t>
      </w:r>
      <w:r w:rsidR="00F82F3C">
        <w:t xml:space="preserve"> </w:t>
      </w:r>
    </w:p>
    <w:p w14:paraId="464116D9" w14:textId="40CE2399" w:rsidR="00BC07DA" w:rsidRPr="00BC07DA" w:rsidRDefault="00BC07DA" w:rsidP="00BC07DA"/>
    <w:p w14:paraId="5D929AAF" w14:textId="77777777" w:rsidR="005E2CA0" w:rsidRDefault="002752C6" w:rsidP="00BD6D1D">
      <w:pPr>
        <w:rPr>
          <w:color w:val="000000" w:themeColor="text1"/>
        </w:rPr>
      </w:pPr>
      <w:r w:rsidRPr="00B012C9">
        <w:rPr>
          <w:rFonts w:cs="Arial"/>
          <w:color w:val="000000" w:themeColor="text1"/>
        </w:rPr>
        <w:t>For the current assessment</w:t>
      </w:r>
      <w:r w:rsidR="00B012C9" w:rsidRPr="00B012C9">
        <w:rPr>
          <w:rFonts w:cs="Arial"/>
          <w:color w:val="000000" w:themeColor="text1"/>
        </w:rPr>
        <w:t xml:space="preserve"> for both safety and favourable health effects</w:t>
      </w:r>
      <w:r w:rsidRPr="00B012C9">
        <w:rPr>
          <w:rFonts w:cs="Arial"/>
          <w:color w:val="000000" w:themeColor="text1"/>
        </w:rPr>
        <w:t xml:space="preserve">, FSANZ considered a body of evidence including </w:t>
      </w:r>
      <w:r w:rsidRPr="00B012C9">
        <w:rPr>
          <w:rFonts w:cs="Arial"/>
          <w:i/>
          <w:iCs/>
          <w:color w:val="000000" w:themeColor="text1"/>
        </w:rPr>
        <w:t>in vitro</w:t>
      </w:r>
      <w:r w:rsidRPr="00B012C9">
        <w:rPr>
          <w:rFonts w:cs="Arial"/>
          <w:color w:val="000000" w:themeColor="text1"/>
        </w:rPr>
        <w:t xml:space="preserve"> studies, animal studies including those in neonatal animals, and human studies including clinical trials. </w:t>
      </w:r>
      <w:r w:rsidR="001310BB">
        <w:rPr>
          <w:rFonts w:cs="Arial"/>
          <w:color w:val="000000" w:themeColor="text1"/>
        </w:rPr>
        <w:t xml:space="preserve">While </w:t>
      </w:r>
      <w:r w:rsidRPr="00B012C9">
        <w:rPr>
          <w:rFonts w:cs="Arial"/>
          <w:color w:val="000000" w:themeColor="text1"/>
        </w:rPr>
        <w:t xml:space="preserve">FSANZ considers that the information submitted </w:t>
      </w:r>
      <w:r w:rsidR="001310BB">
        <w:rPr>
          <w:rFonts w:cs="Arial"/>
          <w:color w:val="000000" w:themeColor="text1"/>
        </w:rPr>
        <w:t xml:space="preserve">by the applicant </w:t>
      </w:r>
      <w:r w:rsidRPr="00B012C9">
        <w:rPr>
          <w:rFonts w:cs="Arial"/>
          <w:color w:val="000000" w:themeColor="text1"/>
        </w:rPr>
        <w:t>met the requirements set out in the Application Handbook</w:t>
      </w:r>
      <w:r w:rsidR="001310BB">
        <w:rPr>
          <w:rFonts w:cs="Arial"/>
          <w:color w:val="000000" w:themeColor="text1"/>
        </w:rPr>
        <w:t xml:space="preserve">, </w:t>
      </w:r>
      <w:r w:rsidR="00797E0F" w:rsidRPr="00B012C9">
        <w:rPr>
          <w:color w:val="000000" w:themeColor="text1"/>
        </w:rPr>
        <w:t>a literature review</w:t>
      </w:r>
      <w:r w:rsidR="001310BB">
        <w:rPr>
          <w:color w:val="000000" w:themeColor="text1"/>
        </w:rPr>
        <w:t xml:space="preserve"> was also undertaken and identified </w:t>
      </w:r>
      <w:r w:rsidR="00CA36A6" w:rsidRPr="00B012C9">
        <w:rPr>
          <w:color w:val="000000" w:themeColor="text1"/>
        </w:rPr>
        <w:t xml:space="preserve">additional </w:t>
      </w:r>
      <w:r w:rsidR="00797E0F" w:rsidRPr="00B012C9">
        <w:rPr>
          <w:color w:val="000000" w:themeColor="text1"/>
        </w:rPr>
        <w:t>studies</w:t>
      </w:r>
      <w:r w:rsidR="001310BB">
        <w:rPr>
          <w:color w:val="000000" w:themeColor="text1"/>
        </w:rPr>
        <w:t xml:space="preserve">. </w:t>
      </w:r>
    </w:p>
    <w:p w14:paraId="4EFA3491" w14:textId="77777777" w:rsidR="005E2CA0" w:rsidRDefault="005E2CA0" w:rsidP="00BD6D1D">
      <w:pPr>
        <w:rPr>
          <w:color w:val="000000" w:themeColor="text1"/>
        </w:rPr>
      </w:pPr>
    </w:p>
    <w:p w14:paraId="04F0E7F7" w14:textId="1984DBA2" w:rsidR="00BD6D1D" w:rsidRPr="00B012C9" w:rsidRDefault="001310BB" w:rsidP="00BD6D1D">
      <w:pPr>
        <w:rPr>
          <w:color w:val="000000" w:themeColor="text1"/>
        </w:rPr>
      </w:pPr>
      <w:r>
        <w:rPr>
          <w:color w:val="000000" w:themeColor="text1"/>
        </w:rPr>
        <w:t>A</w:t>
      </w:r>
      <w:r w:rsidR="00797E0F" w:rsidRPr="00B012C9">
        <w:rPr>
          <w:color w:val="000000" w:themeColor="text1"/>
        </w:rPr>
        <w:t xml:space="preserve"> comprehensive dietary exposure assessment for Australian and New Zealand consumers </w:t>
      </w:r>
      <w:r w:rsidR="00963C56">
        <w:rPr>
          <w:color w:val="000000" w:themeColor="text1"/>
        </w:rPr>
        <w:t xml:space="preserve">was undertaken </w:t>
      </w:r>
      <w:r w:rsidR="00797E0F" w:rsidRPr="00B012C9">
        <w:rPr>
          <w:color w:val="000000" w:themeColor="text1"/>
        </w:rPr>
        <w:t xml:space="preserve">that employed conservative assumptions </w:t>
      </w:r>
      <w:r w:rsidR="00B56B17" w:rsidRPr="00B012C9">
        <w:rPr>
          <w:color w:val="000000" w:themeColor="text1"/>
        </w:rPr>
        <w:t>(i.e. that the maximum permitted level would be present in all products)</w:t>
      </w:r>
      <w:r w:rsidR="00094454" w:rsidRPr="00B012C9">
        <w:rPr>
          <w:color w:val="000000" w:themeColor="text1"/>
        </w:rPr>
        <w:t xml:space="preserve"> </w:t>
      </w:r>
      <w:r w:rsidR="00797E0F" w:rsidRPr="00B012C9">
        <w:rPr>
          <w:color w:val="000000" w:themeColor="text1"/>
        </w:rPr>
        <w:t xml:space="preserve">and gave overestimates of likely exposure. </w:t>
      </w:r>
      <w:r w:rsidR="00B56B17" w:rsidRPr="00B012C9">
        <w:rPr>
          <w:color w:val="000000" w:themeColor="text1"/>
        </w:rPr>
        <w:t xml:space="preserve">FSANZ also reviewed the assessments by other agencies and the information provided to other agencies overseas. </w:t>
      </w:r>
      <w:r w:rsidR="00BD6D1D" w:rsidRPr="00B012C9">
        <w:rPr>
          <w:rFonts w:cs="Arial"/>
          <w:color w:val="000000" w:themeColor="text1"/>
          <w:szCs w:val="20"/>
        </w:rPr>
        <w:t xml:space="preserve">The evidence reviewed is consistent with that used in overseas assessments. </w:t>
      </w:r>
    </w:p>
    <w:p w14:paraId="51AC7A85" w14:textId="03788246" w:rsidR="008D4C38" w:rsidRDefault="00FC5D95" w:rsidP="004B5202">
      <w:pPr>
        <w:pStyle w:val="Heading3"/>
      </w:pPr>
      <w:bookmarkStart w:id="83" w:name="_Toc22303667"/>
      <w:bookmarkStart w:id="84" w:name="_Toc22650330"/>
      <w:r>
        <w:t>2.2.</w:t>
      </w:r>
      <w:r w:rsidR="00797E0F">
        <w:t>2</w:t>
      </w:r>
      <w:r>
        <w:tab/>
      </w:r>
      <w:r w:rsidR="008D4C38">
        <w:t xml:space="preserve">Safety </w:t>
      </w:r>
      <w:r w:rsidR="00F46A1E">
        <w:t>and technical assessment</w:t>
      </w:r>
      <w:bookmarkEnd w:id="83"/>
      <w:bookmarkEnd w:id="84"/>
      <w:r w:rsidR="00F46A1E">
        <w:t xml:space="preserve"> </w:t>
      </w:r>
    </w:p>
    <w:p w14:paraId="2753BB75" w14:textId="77777777" w:rsidR="00F46A1E" w:rsidRDefault="00F46A1E" w:rsidP="00F46A1E">
      <w:r>
        <w:t xml:space="preserve">The GM safety assessment concluded that no public health and safety concerns are identified for 2′-FL and LNnT derived from genetically modified </w:t>
      </w:r>
      <w:r w:rsidRPr="00A012C2">
        <w:rPr>
          <w:i/>
        </w:rPr>
        <w:t>E. coli</w:t>
      </w:r>
      <w:r>
        <w:t xml:space="preserve"> K-12, production strains </w:t>
      </w:r>
      <w:r w:rsidRPr="00F74F4E">
        <w:t>SCR6</w:t>
      </w:r>
      <w:r>
        <w:t xml:space="preserve"> and MP572, respectively.</w:t>
      </w:r>
    </w:p>
    <w:p w14:paraId="0E13ADD2" w14:textId="6E2078A4" w:rsidR="00F46A1E" w:rsidRDefault="00F46A1E" w:rsidP="00DA584A">
      <w:pPr>
        <w:rPr>
          <w:rFonts w:cs="Arial"/>
          <w:color w:val="000000" w:themeColor="text1"/>
        </w:rPr>
      </w:pPr>
    </w:p>
    <w:p w14:paraId="764C9846" w14:textId="77777777" w:rsidR="00F46A1E" w:rsidRDefault="00F46A1E" w:rsidP="00F82F3C">
      <w:pPr>
        <w:keepNext/>
        <w:keepLines/>
      </w:pPr>
      <w:r>
        <w:t>The food technology assessment concluded that the applicant’s</w:t>
      </w:r>
      <w:r w:rsidRPr="008D3229">
        <w:t xml:space="preserve"> </w:t>
      </w:r>
      <w:r>
        <w:t>2′</w:t>
      </w:r>
      <w:r w:rsidRPr="008D3229">
        <w:t xml:space="preserve">-FL and LNnT are chemically and structurally identical to the naturally occurring </w:t>
      </w:r>
      <w:r>
        <w:t>oligosaccharides</w:t>
      </w:r>
      <w:r w:rsidRPr="008D3229">
        <w:t xml:space="preserve"> in human milk and to chemically synthesised </w:t>
      </w:r>
      <w:r>
        <w:t>oligosaccharides, using</w:t>
      </w:r>
      <w:r w:rsidRPr="008D3229">
        <w:t xml:space="preserve"> </w:t>
      </w:r>
      <w:r>
        <w:t>appropriate</w:t>
      </w:r>
      <w:r w:rsidRPr="008D3229">
        <w:t xml:space="preserve"> methods of analysis</w:t>
      </w:r>
      <w:r>
        <w:t>. The shelf-life and specifications are appropriate for addition to infant formula products and FSFYC</w:t>
      </w:r>
      <w:r w:rsidRPr="008D3229">
        <w:t>.</w:t>
      </w:r>
    </w:p>
    <w:p w14:paraId="6EC10E8E" w14:textId="77777777" w:rsidR="00F46A1E" w:rsidRDefault="00F46A1E" w:rsidP="00DA584A">
      <w:pPr>
        <w:rPr>
          <w:rFonts w:cs="Arial"/>
          <w:color w:val="000000" w:themeColor="text1"/>
        </w:rPr>
      </w:pPr>
    </w:p>
    <w:p w14:paraId="51D435E2" w14:textId="3B3FECA6" w:rsidR="00DA584A" w:rsidRPr="00DA584A" w:rsidRDefault="00DA584A" w:rsidP="00753491">
      <w:pPr>
        <w:keepNext/>
        <w:keepLines/>
        <w:rPr>
          <w:rFonts w:cs="Arial"/>
          <w:color w:val="000000" w:themeColor="text1"/>
        </w:rPr>
      </w:pPr>
      <w:r w:rsidRPr="00DA584A">
        <w:rPr>
          <w:rFonts w:cs="Arial"/>
          <w:color w:val="000000" w:themeColor="text1"/>
        </w:rPr>
        <w:t>FSANZ considers there is sufficient evidence demonstrating th</w:t>
      </w:r>
      <w:r w:rsidR="00F46A1E">
        <w:rPr>
          <w:rFonts w:cs="Arial"/>
          <w:color w:val="000000" w:themeColor="text1"/>
        </w:rPr>
        <w:t xml:space="preserve">at intakes </w:t>
      </w:r>
      <w:r w:rsidRPr="00DA584A">
        <w:rPr>
          <w:rFonts w:cs="Arial"/>
          <w:color w:val="000000" w:themeColor="text1"/>
        </w:rPr>
        <w:t>of 2’-FL at levels up to 2.4 g/L alone or in combination with LNnT do not pose a risk to infant</w:t>
      </w:r>
      <w:r w:rsidR="00F46A1E">
        <w:rPr>
          <w:rFonts w:cs="Arial"/>
          <w:color w:val="000000" w:themeColor="text1"/>
        </w:rPr>
        <w:t xml:space="preserve"> and young child</w:t>
      </w:r>
      <w:r w:rsidRPr="00DA584A">
        <w:rPr>
          <w:rFonts w:cs="Arial"/>
          <w:color w:val="000000" w:themeColor="text1"/>
        </w:rPr>
        <w:t xml:space="preserve"> health and safety. In reaching this conclusion FSANZ has taken a 'weight of evidence' approach that considered a range of appropriate evidence</w:t>
      </w:r>
      <w:r w:rsidR="00366D0F">
        <w:rPr>
          <w:rFonts w:cs="Arial"/>
          <w:color w:val="000000" w:themeColor="text1"/>
        </w:rPr>
        <w:t xml:space="preserve"> including</w:t>
      </w:r>
      <w:r w:rsidRPr="00DA584A">
        <w:rPr>
          <w:rFonts w:cs="Arial"/>
          <w:color w:val="000000" w:themeColor="text1"/>
        </w:rPr>
        <w:t xml:space="preserve">: </w:t>
      </w:r>
    </w:p>
    <w:p w14:paraId="55240B5F" w14:textId="77777777" w:rsidR="00DA584A" w:rsidRPr="00DA584A" w:rsidRDefault="00DA584A" w:rsidP="00DA584A">
      <w:pPr>
        <w:rPr>
          <w:rFonts w:cs="Arial"/>
          <w:color w:val="000000" w:themeColor="text1"/>
        </w:rPr>
      </w:pPr>
    </w:p>
    <w:p w14:paraId="62D52768" w14:textId="2613E319" w:rsidR="00DA584A" w:rsidRPr="00DA584A" w:rsidRDefault="00DA584A" w:rsidP="00DA584A">
      <w:pPr>
        <w:pStyle w:val="ListParagraph"/>
        <w:widowControl/>
        <w:numPr>
          <w:ilvl w:val="0"/>
          <w:numId w:val="22"/>
        </w:numPr>
        <w:rPr>
          <w:rFonts w:cs="Arial"/>
          <w:color w:val="000000" w:themeColor="text1"/>
          <w:lang w:eastAsia="en-AU"/>
        </w:rPr>
      </w:pPr>
      <w:r w:rsidRPr="00DA584A">
        <w:rPr>
          <w:color w:val="000000" w:themeColor="text1"/>
        </w:rPr>
        <w:t>Glycom’s 2'-F</w:t>
      </w:r>
      <w:r w:rsidRPr="00DA584A">
        <w:rPr>
          <w:color w:val="000000" w:themeColor="text1"/>
          <w:lang w:eastAsia="en-AU"/>
        </w:rPr>
        <w:t>L and LNnT are chemically and structurally identical to the naturally occurring substances in human milk</w:t>
      </w:r>
      <w:r w:rsidR="00B900D8">
        <w:rPr>
          <w:color w:val="000000" w:themeColor="text1"/>
          <w:lang w:eastAsia="en-AU"/>
        </w:rPr>
        <w:t>.</w:t>
      </w:r>
      <w:r w:rsidRPr="00DA584A">
        <w:rPr>
          <w:color w:val="000000" w:themeColor="text1"/>
          <w:lang w:eastAsia="en-AU"/>
        </w:rPr>
        <w:t xml:space="preserve"> </w:t>
      </w:r>
    </w:p>
    <w:p w14:paraId="2655B034" w14:textId="77777777" w:rsidR="00DA584A" w:rsidRPr="00DA584A" w:rsidRDefault="00DA584A" w:rsidP="00DA584A">
      <w:pPr>
        <w:rPr>
          <w:rFonts w:cs="Arial"/>
          <w:color w:val="000000" w:themeColor="text1"/>
          <w:lang w:eastAsia="en-AU"/>
        </w:rPr>
      </w:pPr>
    </w:p>
    <w:p w14:paraId="2C749B03" w14:textId="0EDCB1AE" w:rsidR="00366D0F" w:rsidRPr="00084D58" w:rsidRDefault="00366D0F" w:rsidP="00366D0F">
      <w:pPr>
        <w:pStyle w:val="ListParagraph"/>
        <w:widowControl/>
        <w:numPr>
          <w:ilvl w:val="0"/>
          <w:numId w:val="22"/>
        </w:numPr>
        <w:rPr>
          <w:rFonts w:cs="Arial"/>
          <w:color w:val="000000" w:themeColor="text1"/>
        </w:rPr>
      </w:pPr>
      <w:r w:rsidRPr="00DA584A">
        <w:rPr>
          <w:color w:val="000000" w:themeColor="text1"/>
        </w:rPr>
        <w:t xml:space="preserve">Intestinal absorption of 2′-FL and LNnT is limited, and a large proportion of these substances passes to the large intestine, where </w:t>
      </w:r>
      <w:r w:rsidR="00CC2D8F">
        <w:rPr>
          <w:color w:val="000000" w:themeColor="text1"/>
        </w:rPr>
        <w:t xml:space="preserve">it is </w:t>
      </w:r>
      <w:r w:rsidRPr="00DA584A">
        <w:rPr>
          <w:color w:val="000000" w:themeColor="text1"/>
        </w:rPr>
        <w:t>fermented by the intestinal microbiota or excreted intact in the faeces.</w:t>
      </w:r>
    </w:p>
    <w:p w14:paraId="6EB1A31A" w14:textId="77777777" w:rsidR="00084D58" w:rsidRPr="00084D58" w:rsidRDefault="00084D58" w:rsidP="00084D58">
      <w:pPr>
        <w:pStyle w:val="ListParagraph"/>
        <w:rPr>
          <w:rFonts w:cs="Arial"/>
          <w:color w:val="000000" w:themeColor="text1"/>
        </w:rPr>
      </w:pPr>
    </w:p>
    <w:p w14:paraId="40557230" w14:textId="4C205EA6" w:rsidR="00DA584A" w:rsidRPr="002A2E09" w:rsidRDefault="00DA584A" w:rsidP="00DC5D76">
      <w:pPr>
        <w:pStyle w:val="ListParagraph"/>
        <w:widowControl/>
        <w:numPr>
          <w:ilvl w:val="0"/>
          <w:numId w:val="22"/>
        </w:numPr>
        <w:rPr>
          <w:rFonts w:cs="Arial"/>
          <w:color w:val="000000" w:themeColor="text1"/>
        </w:rPr>
      </w:pPr>
      <w:r w:rsidRPr="002A2E09">
        <w:rPr>
          <w:color w:val="000000" w:themeColor="text1"/>
        </w:rPr>
        <w:t xml:space="preserve">The proposed concentrations to be added to infant formula products </w:t>
      </w:r>
      <w:r w:rsidR="00DD3A9B" w:rsidRPr="002A2E09">
        <w:rPr>
          <w:color w:val="000000" w:themeColor="text1"/>
        </w:rPr>
        <w:t>are</w:t>
      </w:r>
      <w:r w:rsidRPr="002A2E09">
        <w:rPr>
          <w:color w:val="000000" w:themeColor="text1"/>
        </w:rPr>
        <w:t xml:space="preserve"> within the range of concentrations found in mature human milk</w:t>
      </w:r>
      <w:r w:rsidR="007F0D72">
        <w:rPr>
          <w:color w:val="000000" w:themeColor="text1"/>
        </w:rPr>
        <w:t xml:space="preserve"> (refer to figure 1)</w:t>
      </w:r>
      <w:r w:rsidR="007F0D72" w:rsidRPr="002A2E09">
        <w:rPr>
          <w:color w:val="000000" w:themeColor="text1"/>
        </w:rPr>
        <w:t>.</w:t>
      </w:r>
      <w:r w:rsidRPr="002A2E09">
        <w:rPr>
          <w:color w:val="000000" w:themeColor="text1"/>
        </w:rPr>
        <w:t xml:space="preserve"> </w:t>
      </w:r>
      <w:r w:rsidR="002A2E09">
        <w:t>This is about one fifth</w:t>
      </w:r>
      <w:r w:rsidR="002A2E09" w:rsidDel="005340D2">
        <w:t xml:space="preserve"> </w:t>
      </w:r>
      <w:r w:rsidR="002A2E09">
        <w:t>of the total concentration of oligosaccharides present in mature human milk</w:t>
      </w:r>
      <w:r w:rsidR="002A2E09" w:rsidRPr="008A3AC2">
        <w:t xml:space="preserve"> </w:t>
      </w:r>
      <w:r w:rsidR="002A2E09">
        <w:t xml:space="preserve">(10–15 g/L). </w:t>
      </w:r>
      <w:r w:rsidRPr="002A2E09">
        <w:rPr>
          <w:color w:val="000000" w:themeColor="text1"/>
        </w:rPr>
        <w:t>This provides a</w:t>
      </w:r>
      <w:r w:rsidR="00366D0F" w:rsidRPr="002A2E09">
        <w:rPr>
          <w:color w:val="000000" w:themeColor="text1"/>
        </w:rPr>
        <w:t>n appropriate</w:t>
      </w:r>
      <w:r w:rsidRPr="002A2E09">
        <w:rPr>
          <w:color w:val="000000" w:themeColor="text1"/>
        </w:rPr>
        <w:t xml:space="preserve"> history of safe human use in the target populations</w:t>
      </w:r>
      <w:r w:rsidR="00CC2D8F">
        <w:rPr>
          <w:color w:val="000000" w:themeColor="text1"/>
        </w:rPr>
        <w:t>.</w:t>
      </w:r>
      <w:r w:rsidR="007F0D72">
        <w:rPr>
          <w:color w:val="000000" w:themeColor="text1"/>
        </w:rPr>
        <w:t xml:space="preserve"> </w:t>
      </w:r>
    </w:p>
    <w:p w14:paraId="6F002FDF" w14:textId="77777777" w:rsidR="00F46A1E" w:rsidRPr="00F46A1E" w:rsidRDefault="00F46A1E" w:rsidP="00F46A1E">
      <w:pPr>
        <w:pStyle w:val="ListParagraph"/>
        <w:rPr>
          <w:rFonts w:cs="Arial"/>
          <w:color w:val="000000" w:themeColor="text1"/>
        </w:rPr>
      </w:pPr>
    </w:p>
    <w:p w14:paraId="1377AEF3" w14:textId="09E2BF91" w:rsidR="00BD6D1D" w:rsidRPr="00BD6D1D" w:rsidRDefault="00F46A1E" w:rsidP="00DA584A">
      <w:pPr>
        <w:pStyle w:val="ListParagraph"/>
        <w:widowControl/>
        <w:numPr>
          <w:ilvl w:val="0"/>
          <w:numId w:val="22"/>
        </w:numPr>
        <w:rPr>
          <w:rFonts w:cs="Arial"/>
          <w:color w:val="000000" w:themeColor="text1"/>
        </w:rPr>
      </w:pPr>
      <w:r>
        <w:t>The estimated dietary intake of 2′-FL</w:t>
      </w:r>
      <w:r>
        <w:rPr>
          <w:vertAlign w:val="subscript"/>
        </w:rPr>
        <w:t xml:space="preserve"> </w:t>
      </w:r>
      <w:r>
        <w:t xml:space="preserve">based on 2.4 g/L is similar to 2′-FL intakes for 3 and 9 month old breastfed infants. </w:t>
      </w:r>
    </w:p>
    <w:p w14:paraId="18A7292B" w14:textId="77777777" w:rsidR="00BD6D1D" w:rsidRDefault="00BD6D1D" w:rsidP="00BD6D1D">
      <w:pPr>
        <w:pStyle w:val="ListParagraph"/>
      </w:pPr>
    </w:p>
    <w:p w14:paraId="287C4633" w14:textId="05D9E6CB" w:rsidR="00F46A1E" w:rsidRPr="00DA584A" w:rsidRDefault="00F46A1E" w:rsidP="00DA584A">
      <w:pPr>
        <w:pStyle w:val="ListParagraph"/>
        <w:widowControl/>
        <w:numPr>
          <w:ilvl w:val="0"/>
          <w:numId w:val="22"/>
        </w:numPr>
        <w:rPr>
          <w:rFonts w:cs="Arial"/>
          <w:color w:val="000000" w:themeColor="text1"/>
        </w:rPr>
      </w:pPr>
      <w:r>
        <w:t>Estimated mean intakes of 2′-FL from FSFYC based on 2.4 g/L for 12 month old infants and 2-3 year old children, are similar to or less than those for younger formula-fed and breast-fed infants (&lt;12 months).</w:t>
      </w:r>
    </w:p>
    <w:p w14:paraId="5DBFCDC7" w14:textId="176F42B9" w:rsidR="00DA584A" w:rsidRPr="00DA584A" w:rsidRDefault="00DA584A" w:rsidP="00DA584A">
      <w:pPr>
        <w:rPr>
          <w:rFonts w:cs="Arial"/>
          <w:color w:val="000000" w:themeColor="text1"/>
        </w:rPr>
      </w:pPr>
    </w:p>
    <w:p w14:paraId="22462343" w14:textId="2F1A1683" w:rsidR="00DA584A" w:rsidRPr="00DA584A" w:rsidRDefault="00DA584A" w:rsidP="00DA584A">
      <w:pPr>
        <w:pStyle w:val="ListParagraph"/>
        <w:widowControl/>
        <w:numPr>
          <w:ilvl w:val="0"/>
          <w:numId w:val="22"/>
        </w:numPr>
        <w:rPr>
          <w:rFonts w:cs="Arial"/>
          <w:color w:val="000000" w:themeColor="text1"/>
        </w:rPr>
      </w:pPr>
      <w:r w:rsidRPr="00DA584A">
        <w:rPr>
          <w:color w:val="000000" w:themeColor="text1"/>
        </w:rPr>
        <w:t xml:space="preserve">No adverse effects were observed at high doses in subchronic studies with 2’-FL or LNnT in juvenile </w:t>
      </w:r>
      <w:r w:rsidR="001B302F" w:rsidRPr="00DA584A">
        <w:rPr>
          <w:color w:val="000000" w:themeColor="text1"/>
        </w:rPr>
        <w:t>rats</w:t>
      </w:r>
      <w:r w:rsidR="001B302F">
        <w:rPr>
          <w:color w:val="000000" w:themeColor="text1"/>
        </w:rPr>
        <w:t xml:space="preserve"> (doses up to 5000 mg/kg bw/day)</w:t>
      </w:r>
      <w:r w:rsidRPr="00DA584A">
        <w:rPr>
          <w:color w:val="000000" w:themeColor="text1"/>
        </w:rPr>
        <w:t>, or in studies with 2’-FL in neonatal piglets</w:t>
      </w:r>
      <w:r w:rsidR="001B302F">
        <w:rPr>
          <w:color w:val="000000" w:themeColor="text1"/>
        </w:rPr>
        <w:t xml:space="preserve"> at concentrations in formula of up to 2 g/L</w:t>
      </w:r>
      <w:r w:rsidR="001B302F" w:rsidRPr="00DA584A">
        <w:rPr>
          <w:color w:val="000000" w:themeColor="text1"/>
        </w:rPr>
        <w:t>.</w:t>
      </w:r>
      <w:r w:rsidRPr="00DA584A">
        <w:rPr>
          <w:color w:val="000000" w:themeColor="text1"/>
        </w:rPr>
        <w:t xml:space="preserve"> These studies include histopathological analyses, which cannot be evaluated in clinical studies in human infants. </w:t>
      </w:r>
    </w:p>
    <w:p w14:paraId="77C37E41" w14:textId="77777777" w:rsidR="00DA584A" w:rsidRPr="00DA584A" w:rsidRDefault="00DA584A" w:rsidP="00DA584A">
      <w:pPr>
        <w:pStyle w:val="ListParagraph"/>
        <w:rPr>
          <w:color w:val="000000" w:themeColor="text1"/>
        </w:rPr>
      </w:pPr>
    </w:p>
    <w:p w14:paraId="21CF774E" w14:textId="2F5E3B6C" w:rsidR="00DA584A" w:rsidRPr="001B302F" w:rsidRDefault="00DA584A" w:rsidP="00DA584A">
      <w:pPr>
        <w:pStyle w:val="ListParagraph"/>
        <w:widowControl/>
        <w:numPr>
          <w:ilvl w:val="0"/>
          <w:numId w:val="22"/>
        </w:numPr>
        <w:rPr>
          <w:color w:val="000000" w:themeColor="text1"/>
        </w:rPr>
      </w:pPr>
      <w:r w:rsidRPr="00DA584A">
        <w:rPr>
          <w:color w:val="000000" w:themeColor="text1"/>
        </w:rPr>
        <w:t xml:space="preserve">Clinical studies with 2’-FL at concentrations up to 1.2 g/L, either alone or in combination with LNnT, GOS or scFOS, also found no adverse effects. </w:t>
      </w:r>
      <w:r w:rsidRPr="00DA584A">
        <w:rPr>
          <w:color w:val="000000" w:themeColor="text1"/>
          <w:lang w:val="en-AU" w:eastAsia="en-GB"/>
        </w:rPr>
        <w:t>None of these studies found a difference in growth compared to a control formula.</w:t>
      </w:r>
    </w:p>
    <w:p w14:paraId="02D5D04B" w14:textId="77777777" w:rsidR="001B302F" w:rsidRPr="001B302F" w:rsidRDefault="001B302F" w:rsidP="001B302F">
      <w:pPr>
        <w:pStyle w:val="ListParagraph"/>
        <w:rPr>
          <w:color w:val="000000" w:themeColor="text1"/>
        </w:rPr>
      </w:pPr>
    </w:p>
    <w:p w14:paraId="1FD285BA" w14:textId="27A4F920" w:rsidR="001B302F" w:rsidRPr="001B302F" w:rsidRDefault="001B302F" w:rsidP="001B302F">
      <w:pPr>
        <w:pStyle w:val="ListParagraph"/>
        <w:numPr>
          <w:ilvl w:val="0"/>
          <w:numId w:val="22"/>
        </w:numPr>
      </w:pPr>
      <w:r w:rsidRPr="001B302F">
        <w:t>FSANZ is unaware of any</w:t>
      </w:r>
      <w:r w:rsidR="00BB381E">
        <w:t xml:space="preserve"> reports of</w:t>
      </w:r>
      <w:r w:rsidRPr="001B302F">
        <w:t xml:space="preserve"> adverse </w:t>
      </w:r>
      <w:r w:rsidR="00BB381E">
        <w:t>events</w:t>
      </w:r>
      <w:r w:rsidR="00BB381E" w:rsidRPr="001B302F">
        <w:t xml:space="preserve"> </w:t>
      </w:r>
      <w:r w:rsidRPr="001B302F">
        <w:t>associated with the use of 2′-FL and LNnT in countries in which it is approved.</w:t>
      </w:r>
    </w:p>
    <w:p w14:paraId="2F20B032" w14:textId="5B5D6686" w:rsidR="00DA584A" w:rsidRDefault="00DA584A" w:rsidP="00DA584A">
      <w:pPr>
        <w:rPr>
          <w:rFonts w:cs="Arial"/>
          <w:color w:val="44546A"/>
        </w:rPr>
      </w:pPr>
    </w:p>
    <w:p w14:paraId="1414453C" w14:textId="4B662D0B" w:rsidR="00DA584A" w:rsidRDefault="00DA584A" w:rsidP="00DA584A">
      <w:pPr>
        <w:rPr>
          <w:rFonts w:cs="Arial"/>
          <w:color w:val="000000" w:themeColor="text1"/>
          <w:lang w:val="en-AU"/>
        </w:rPr>
      </w:pPr>
      <w:r w:rsidRPr="00DA584A">
        <w:rPr>
          <w:rFonts w:cs="Arial"/>
          <w:color w:val="000000" w:themeColor="text1"/>
        </w:rPr>
        <w:t>Taken together, the evidence on</w:t>
      </w:r>
      <w:r w:rsidR="007E755E">
        <w:rPr>
          <w:rFonts w:cs="Arial"/>
          <w:color w:val="000000" w:themeColor="text1"/>
        </w:rPr>
        <w:t>:</w:t>
      </w:r>
      <w:r w:rsidRPr="00DA584A">
        <w:rPr>
          <w:rFonts w:cs="Arial"/>
          <w:color w:val="000000" w:themeColor="text1"/>
        </w:rPr>
        <w:t xml:space="preserve"> chemical </w:t>
      </w:r>
      <w:r w:rsidR="00366D0F">
        <w:rPr>
          <w:rFonts w:cs="Arial"/>
          <w:color w:val="000000" w:themeColor="text1"/>
        </w:rPr>
        <w:t xml:space="preserve">and structural </w:t>
      </w:r>
      <w:r w:rsidRPr="00DA584A">
        <w:rPr>
          <w:rFonts w:cs="Arial"/>
          <w:color w:val="000000" w:themeColor="text1"/>
        </w:rPr>
        <w:t>equivalence</w:t>
      </w:r>
      <w:r w:rsidR="007E755E">
        <w:rPr>
          <w:rFonts w:cs="Arial"/>
          <w:color w:val="000000" w:themeColor="text1"/>
        </w:rPr>
        <w:t xml:space="preserve">; </w:t>
      </w:r>
      <w:r w:rsidRPr="00DA584A">
        <w:rPr>
          <w:rFonts w:cs="Arial"/>
          <w:color w:val="000000" w:themeColor="text1"/>
        </w:rPr>
        <w:t>comparable concentration range</w:t>
      </w:r>
      <w:r w:rsidR="00366D0F">
        <w:rPr>
          <w:rFonts w:cs="Arial"/>
          <w:color w:val="000000" w:themeColor="text1"/>
        </w:rPr>
        <w:t>s</w:t>
      </w:r>
      <w:r w:rsidRPr="00DA584A">
        <w:rPr>
          <w:rFonts w:cs="Arial"/>
          <w:color w:val="000000" w:themeColor="text1"/>
        </w:rPr>
        <w:t xml:space="preserve"> in human milk</w:t>
      </w:r>
      <w:r w:rsidR="007E755E">
        <w:rPr>
          <w:rFonts w:cs="Arial"/>
          <w:color w:val="000000" w:themeColor="text1"/>
        </w:rPr>
        <w:t xml:space="preserve">; </w:t>
      </w:r>
      <w:r w:rsidR="00366D0F">
        <w:rPr>
          <w:rFonts w:cs="Arial"/>
          <w:color w:val="000000" w:themeColor="text1"/>
        </w:rPr>
        <w:t xml:space="preserve">the </w:t>
      </w:r>
      <w:r w:rsidRPr="00DA584A">
        <w:rPr>
          <w:rFonts w:cs="Arial"/>
          <w:color w:val="000000" w:themeColor="text1"/>
        </w:rPr>
        <w:t>limited absorption</w:t>
      </w:r>
      <w:r w:rsidR="007E755E">
        <w:rPr>
          <w:rFonts w:cs="Arial"/>
          <w:color w:val="000000" w:themeColor="text1"/>
        </w:rPr>
        <w:t xml:space="preserve">; </w:t>
      </w:r>
      <w:r w:rsidR="00733675">
        <w:rPr>
          <w:rFonts w:cs="Arial"/>
          <w:color w:val="000000" w:themeColor="text1"/>
        </w:rPr>
        <w:t>th</w:t>
      </w:r>
      <w:r w:rsidRPr="00DA584A">
        <w:rPr>
          <w:rFonts w:cs="Arial"/>
          <w:color w:val="000000" w:themeColor="text1"/>
        </w:rPr>
        <w:t xml:space="preserve">e lack of adverse effects at high doses in animal models of an appropriate age </w:t>
      </w:r>
      <w:r w:rsidR="007E755E">
        <w:rPr>
          <w:rFonts w:cs="Arial"/>
          <w:color w:val="000000" w:themeColor="text1"/>
        </w:rPr>
        <w:t xml:space="preserve">and </w:t>
      </w:r>
      <w:r w:rsidRPr="00DA584A">
        <w:rPr>
          <w:rFonts w:cs="Arial"/>
          <w:color w:val="000000" w:themeColor="text1"/>
        </w:rPr>
        <w:t>in human infants</w:t>
      </w:r>
      <w:r w:rsidR="00733675">
        <w:rPr>
          <w:rFonts w:cs="Arial"/>
          <w:color w:val="000000" w:themeColor="text1"/>
        </w:rPr>
        <w:t>,</w:t>
      </w:r>
      <w:r w:rsidRPr="00DA584A">
        <w:rPr>
          <w:rFonts w:cs="Arial"/>
          <w:color w:val="000000" w:themeColor="text1"/>
        </w:rPr>
        <w:t xml:space="preserve"> is sufficient to conclude that there are no public health and safety concerns associated with the addition of 2’-FL alone or in combination with LNnT at the proposed concentrations (</w:t>
      </w:r>
      <w:r w:rsidR="00366D0F">
        <w:rPr>
          <w:rFonts w:cs="Arial"/>
          <w:color w:val="000000" w:themeColor="text1"/>
        </w:rPr>
        <w:t xml:space="preserve">up to </w:t>
      </w:r>
      <w:r w:rsidRPr="00DA584A">
        <w:rPr>
          <w:rFonts w:cs="Arial"/>
          <w:color w:val="000000" w:themeColor="text1"/>
          <w:lang w:val="en-AU"/>
        </w:rPr>
        <w:t xml:space="preserve">2.4 g/L of 2’-FL and </w:t>
      </w:r>
      <w:r w:rsidR="00366D0F">
        <w:rPr>
          <w:rFonts w:cs="Arial"/>
          <w:color w:val="000000" w:themeColor="text1"/>
          <w:lang w:val="en-AU"/>
        </w:rPr>
        <w:t xml:space="preserve">up to </w:t>
      </w:r>
      <w:r w:rsidRPr="00DA584A">
        <w:rPr>
          <w:rFonts w:cs="Arial"/>
          <w:color w:val="000000" w:themeColor="text1"/>
          <w:lang w:val="en-AU"/>
        </w:rPr>
        <w:t xml:space="preserve">0.6 g/L of LNnT). </w:t>
      </w:r>
    </w:p>
    <w:p w14:paraId="6A172748" w14:textId="139BE3AA" w:rsidR="005948D8" w:rsidRDefault="00FC5D95" w:rsidP="00B3515B">
      <w:pPr>
        <w:pStyle w:val="Heading3"/>
      </w:pPr>
      <w:bookmarkStart w:id="85" w:name="_Toc22303668"/>
      <w:bookmarkStart w:id="86" w:name="_Toc22650331"/>
      <w:r>
        <w:t>2.2.</w:t>
      </w:r>
      <w:r w:rsidR="00797E0F">
        <w:t>3</w:t>
      </w:r>
      <w:r>
        <w:tab/>
      </w:r>
      <w:r w:rsidR="00E46EE7">
        <w:t>Assessment of health effects</w:t>
      </w:r>
      <w:bookmarkEnd w:id="85"/>
      <w:bookmarkEnd w:id="86"/>
    </w:p>
    <w:p w14:paraId="4BD5BFAE" w14:textId="1D355C32" w:rsidR="00FC5D95" w:rsidRPr="00707C03" w:rsidRDefault="00603B2B" w:rsidP="00FC5D95">
      <w:pPr>
        <w:pStyle w:val="Heading4"/>
      </w:pPr>
      <w:r>
        <w:t>2.2.</w:t>
      </w:r>
      <w:r w:rsidR="00797E0F">
        <w:t>3</w:t>
      </w:r>
      <w:r>
        <w:t>.</w:t>
      </w:r>
      <w:r w:rsidR="00797E0F">
        <w:t>1</w:t>
      </w:r>
      <w:r>
        <w:tab/>
      </w:r>
      <w:r w:rsidR="00FC5D95" w:rsidRPr="00707C03">
        <w:t xml:space="preserve">Bifidogenic </w:t>
      </w:r>
      <w:r w:rsidR="00FC5D95">
        <w:rPr>
          <w:lang w:eastAsia="en-AU"/>
        </w:rPr>
        <w:t>effect</w:t>
      </w:r>
    </w:p>
    <w:p w14:paraId="4B35CCDF" w14:textId="383B7093" w:rsidR="00753491" w:rsidRDefault="00FC5D95" w:rsidP="00FC5D95">
      <w:pPr>
        <w:rPr>
          <w:lang w:eastAsia="en-AU" w:bidi="ar-SA"/>
        </w:rPr>
      </w:pPr>
      <w:r w:rsidRPr="009E207F">
        <w:rPr>
          <w:lang w:eastAsia="en-AU" w:bidi="ar-SA"/>
        </w:rPr>
        <w:t>The composition of the microbiota depend</w:t>
      </w:r>
      <w:r w:rsidR="004A15C0">
        <w:rPr>
          <w:lang w:eastAsia="en-AU" w:bidi="ar-SA"/>
        </w:rPr>
        <w:t>s</w:t>
      </w:r>
      <w:r w:rsidRPr="009E207F">
        <w:rPr>
          <w:lang w:eastAsia="en-AU" w:bidi="ar-SA"/>
        </w:rPr>
        <w:t xml:space="preserve"> on a range of factors including delivery method (vaginal vs caesarean), diet (breast vs infant formula), geographical ori</w:t>
      </w:r>
      <w:r>
        <w:rPr>
          <w:lang w:eastAsia="en-AU" w:bidi="ar-SA"/>
        </w:rPr>
        <w:t>gin, familial environment, diseases and the use of antibiotics</w:t>
      </w:r>
      <w:r w:rsidR="00D8091D">
        <w:rPr>
          <w:lang w:eastAsia="en-AU" w:bidi="ar-SA"/>
        </w:rPr>
        <w:t xml:space="preserve"> </w:t>
      </w:r>
      <w:r w:rsidR="00D8091D" w:rsidRPr="00D8091D">
        <w:rPr>
          <w:lang w:eastAsia="en-AU" w:bidi="ar-SA"/>
        </w:rPr>
        <w:t>(Bezirtzoglou et al. 2011; Milani et al. 2017)</w:t>
      </w:r>
      <w:r w:rsidRPr="009E207F">
        <w:rPr>
          <w:lang w:eastAsia="en-AU" w:bidi="ar-SA"/>
        </w:rPr>
        <w:t>.</w:t>
      </w:r>
      <w:r>
        <w:rPr>
          <w:lang w:eastAsia="en-AU" w:bidi="ar-SA"/>
        </w:rPr>
        <w:t xml:space="preserve"> </w:t>
      </w:r>
    </w:p>
    <w:p w14:paraId="40EBF869" w14:textId="77777777" w:rsidR="00753491" w:rsidRDefault="00753491" w:rsidP="00FC5D95">
      <w:pPr>
        <w:rPr>
          <w:lang w:eastAsia="en-AU" w:bidi="ar-SA"/>
        </w:rPr>
      </w:pPr>
    </w:p>
    <w:p w14:paraId="62275C09" w14:textId="4B537B4B" w:rsidR="00FC5D95" w:rsidRDefault="00FC5D95" w:rsidP="00EF103F">
      <w:pPr>
        <w:keepNext/>
        <w:keepLines/>
      </w:pPr>
      <w:r>
        <w:rPr>
          <w:lang w:eastAsia="en-AU" w:bidi="ar-SA"/>
        </w:rPr>
        <w:t xml:space="preserve">It is not possible to </w:t>
      </w:r>
      <w:r w:rsidRPr="001C7F8B">
        <w:rPr>
          <w:lang w:eastAsia="en-AU" w:bidi="ar-SA"/>
        </w:rPr>
        <w:t>define a universal standar</w:t>
      </w:r>
      <w:r>
        <w:rPr>
          <w:lang w:eastAsia="en-AU" w:bidi="ar-SA"/>
        </w:rPr>
        <w:t>d for a healthy</w:t>
      </w:r>
      <w:r w:rsidRPr="001C7F8B">
        <w:rPr>
          <w:lang w:eastAsia="en-AU" w:bidi="ar-SA"/>
        </w:rPr>
        <w:t xml:space="preserve"> intestinal microbiota</w:t>
      </w:r>
      <w:r>
        <w:rPr>
          <w:lang w:eastAsia="en-AU" w:bidi="ar-SA"/>
        </w:rPr>
        <w:t xml:space="preserve">, however the </w:t>
      </w:r>
      <w:r>
        <w:t xml:space="preserve">composition of exclusively breastfed infants is generally the accepted reference standard for the normal, healthy development of an infant’s gut microbiota. Studies </w:t>
      </w:r>
      <w:r w:rsidRPr="009E207F">
        <w:rPr>
          <w:lang w:eastAsia="en-AU" w:bidi="ar-SA"/>
        </w:rPr>
        <w:t xml:space="preserve">have found that the </w:t>
      </w:r>
      <w:r>
        <w:rPr>
          <w:lang w:eastAsia="en-AU" w:bidi="ar-SA"/>
        </w:rPr>
        <w:t xml:space="preserve">composition of the gut </w:t>
      </w:r>
      <w:r w:rsidRPr="009E207F">
        <w:rPr>
          <w:lang w:eastAsia="en-AU" w:bidi="ar-SA"/>
        </w:rPr>
        <w:t xml:space="preserve">microflora of </w:t>
      </w:r>
      <w:r>
        <w:rPr>
          <w:lang w:eastAsia="en-AU" w:bidi="ar-SA"/>
        </w:rPr>
        <w:t>breastfed</w:t>
      </w:r>
      <w:r w:rsidRPr="009E207F">
        <w:rPr>
          <w:lang w:eastAsia="en-AU" w:bidi="ar-SA"/>
        </w:rPr>
        <w:t xml:space="preserve"> infants </w:t>
      </w:r>
      <w:r>
        <w:rPr>
          <w:lang w:eastAsia="en-AU" w:bidi="ar-SA"/>
        </w:rPr>
        <w:t>are</w:t>
      </w:r>
      <w:r w:rsidRPr="009E207F">
        <w:rPr>
          <w:lang w:eastAsia="en-AU" w:bidi="ar-SA"/>
        </w:rPr>
        <w:t xml:space="preserve"> more homogeneous and </w:t>
      </w:r>
      <w:r>
        <w:rPr>
          <w:lang w:eastAsia="en-AU" w:bidi="ar-SA"/>
        </w:rPr>
        <w:t>are generally</w:t>
      </w:r>
      <w:r w:rsidRPr="009E207F">
        <w:rPr>
          <w:lang w:eastAsia="en-AU" w:bidi="ar-SA"/>
        </w:rPr>
        <w:t xml:space="preserve"> dominated by </w:t>
      </w:r>
      <w:r>
        <w:rPr>
          <w:lang w:eastAsia="en-AU" w:bidi="ar-SA"/>
        </w:rPr>
        <w:t>b</w:t>
      </w:r>
      <w:r w:rsidRPr="009E207F">
        <w:rPr>
          <w:lang w:eastAsia="en-AU" w:bidi="ar-SA"/>
        </w:rPr>
        <w:t>ifidobacteria</w:t>
      </w:r>
      <w:r w:rsidR="001D1357">
        <w:rPr>
          <w:lang w:eastAsia="en-AU" w:bidi="ar-SA"/>
        </w:rPr>
        <w:t xml:space="preserve"> compared to formula-</w:t>
      </w:r>
      <w:r>
        <w:rPr>
          <w:lang w:eastAsia="en-AU" w:bidi="ar-SA"/>
        </w:rPr>
        <w:t>fed infants</w:t>
      </w:r>
      <w:r w:rsidR="00D8091D">
        <w:rPr>
          <w:lang w:eastAsia="en-AU" w:bidi="ar-SA"/>
        </w:rPr>
        <w:t xml:space="preserve"> </w:t>
      </w:r>
      <w:r w:rsidR="00D8091D" w:rsidRPr="00D8091D">
        <w:rPr>
          <w:lang w:eastAsia="en-AU" w:bidi="ar-SA"/>
        </w:rPr>
        <w:t>(Bezirtzoglou et al. 2011)</w:t>
      </w:r>
      <w:r w:rsidRPr="009E207F">
        <w:rPr>
          <w:lang w:eastAsia="en-AU" w:bidi="ar-SA"/>
        </w:rPr>
        <w:t>.</w:t>
      </w:r>
      <w:r>
        <w:rPr>
          <w:lang w:eastAsia="en-AU" w:bidi="ar-SA"/>
        </w:rPr>
        <w:t xml:space="preserve"> </w:t>
      </w:r>
      <w:r w:rsidR="008D72EC">
        <w:rPr>
          <w:lang w:eastAsia="en-AU" w:bidi="ar-SA"/>
        </w:rPr>
        <w:t xml:space="preserve">The </w:t>
      </w:r>
      <w:r>
        <w:rPr>
          <w:lang w:eastAsia="en-AU" w:bidi="ar-SA"/>
        </w:rPr>
        <w:t>EFSA state</w:t>
      </w:r>
      <w:r w:rsidR="006D4CD2">
        <w:rPr>
          <w:lang w:eastAsia="en-AU" w:bidi="ar-SA"/>
        </w:rPr>
        <w:t>s</w:t>
      </w:r>
      <w:r>
        <w:rPr>
          <w:lang w:eastAsia="en-AU" w:bidi="ar-SA"/>
        </w:rPr>
        <w:t xml:space="preserve"> that the</w:t>
      </w:r>
      <w:r w:rsidRPr="00F14C1B">
        <w:rPr>
          <w:lang w:eastAsia="en-AU" w:bidi="ar-SA"/>
        </w:rPr>
        <w:t xml:space="preserve"> </w:t>
      </w:r>
      <w:r w:rsidRPr="00506F7C">
        <w:t>oligosaccharides of human milk are one of the principal growth factors for bifidobacteria in the infant gut and are responsible for the composition of the gut microbiota found in breastfed infants (EFSA 2014).</w:t>
      </w:r>
      <w:r>
        <w:t xml:space="preserve"> </w:t>
      </w:r>
    </w:p>
    <w:p w14:paraId="1B02BFB4" w14:textId="5BE812C4" w:rsidR="00FC5D95" w:rsidRDefault="00FC5D95" w:rsidP="00FC5D95"/>
    <w:p w14:paraId="052E4AF3" w14:textId="626F07EA" w:rsidR="00533B96" w:rsidRDefault="00FC5D95" w:rsidP="00251302">
      <w:pPr>
        <w:rPr>
          <w:rFonts w:cs="Arial"/>
        </w:rPr>
      </w:pPr>
      <w:r w:rsidRPr="00222D69">
        <w:t xml:space="preserve">FSANZ </w:t>
      </w:r>
      <w:r w:rsidR="00715739" w:rsidRPr="00222D69">
        <w:t xml:space="preserve">assessed a </w:t>
      </w:r>
      <w:r w:rsidR="00127B0F" w:rsidRPr="00222D69">
        <w:t xml:space="preserve">body </w:t>
      </w:r>
      <w:r w:rsidR="00715739" w:rsidRPr="00222D69">
        <w:t>of</w:t>
      </w:r>
      <w:r w:rsidRPr="00222D69">
        <w:t xml:space="preserve"> evidence (</w:t>
      </w:r>
      <w:r w:rsidR="00CC45D5" w:rsidRPr="00222D69">
        <w:t>refer to SD1 at 2</w:t>
      </w:r>
      <w:r w:rsidR="00CC45D5" w:rsidRPr="00222D69">
        <w:rPr>
          <w:vertAlign w:val="superscript"/>
        </w:rPr>
        <w:t>nd</w:t>
      </w:r>
      <w:r w:rsidR="00CC45D5" w:rsidRPr="00222D69">
        <w:t xml:space="preserve"> CFS)</w:t>
      </w:r>
      <w:r w:rsidR="00127B0F" w:rsidRPr="00222D69">
        <w:t xml:space="preserve"> </w:t>
      </w:r>
      <w:r w:rsidR="00251302" w:rsidRPr="00222D69">
        <w:t xml:space="preserve">to reach a conclusion that the </w:t>
      </w:r>
      <w:r w:rsidR="006C0048" w:rsidRPr="00222D69">
        <w:t xml:space="preserve">bifidogenic </w:t>
      </w:r>
      <w:r w:rsidR="00251302" w:rsidRPr="00222D69">
        <w:t xml:space="preserve">effect </w:t>
      </w:r>
      <w:r w:rsidR="005320AD" w:rsidRPr="00222D69">
        <w:t>in</w:t>
      </w:r>
      <w:r w:rsidR="00222D69" w:rsidRPr="00222D69">
        <w:t xml:space="preserve"> </w:t>
      </w:r>
      <w:r w:rsidR="005320AD" w:rsidRPr="00254BF3">
        <w:t>infants and toddlers is likely to occur and that there is a substantiated beneficial role in growth and development</w:t>
      </w:r>
      <w:r w:rsidR="00251302" w:rsidRPr="00254BF3">
        <w:t xml:space="preserve">. This </w:t>
      </w:r>
      <w:r w:rsidR="00277184" w:rsidRPr="00254BF3">
        <w:t xml:space="preserve">assessment </w:t>
      </w:r>
      <w:r w:rsidR="00251302" w:rsidRPr="00254BF3">
        <w:t xml:space="preserve">followed several steps which </w:t>
      </w:r>
      <w:r w:rsidR="00127B0F" w:rsidRPr="00254BF3">
        <w:t>included</w:t>
      </w:r>
      <w:r w:rsidR="00CC45D5" w:rsidRPr="00254BF3">
        <w:t xml:space="preserve">: </w:t>
      </w:r>
      <w:r w:rsidR="00251302" w:rsidRPr="00254BF3">
        <w:t xml:space="preserve">consideration of </w:t>
      </w:r>
      <w:r w:rsidR="00CC45D5" w:rsidRPr="00254BF3">
        <w:t>the microflora development in breastfed infants and formula</w:t>
      </w:r>
      <w:r w:rsidR="001D1357" w:rsidRPr="00254BF3">
        <w:t>-</w:t>
      </w:r>
      <w:r w:rsidR="00CC45D5" w:rsidRPr="00254BF3">
        <w:t xml:space="preserve">fed infants, </w:t>
      </w:r>
      <w:r w:rsidR="00CC45D5" w:rsidRPr="00254BF3">
        <w:rPr>
          <w:i/>
        </w:rPr>
        <w:t>in vitro</w:t>
      </w:r>
      <w:r w:rsidR="00CC45D5" w:rsidRPr="00254BF3">
        <w:t xml:space="preserve"> studies of bacterial growth and utilisation of 2′-FL and LNnT as well as </w:t>
      </w:r>
      <w:r w:rsidR="00277184" w:rsidRPr="00254BF3">
        <w:t>studies of the microflora development in breastfed and formula-fed infants and an infant clinical trial.</w:t>
      </w:r>
      <w:r w:rsidR="00CC45D5" w:rsidRPr="00254BF3">
        <w:t xml:space="preserve"> As summarised in </w:t>
      </w:r>
      <w:r w:rsidR="00E355FC" w:rsidRPr="00254BF3">
        <w:t>T</w:t>
      </w:r>
      <w:r w:rsidR="00CC45D5" w:rsidRPr="00254BF3">
        <w:t xml:space="preserve">able </w:t>
      </w:r>
      <w:r w:rsidR="00E355FC" w:rsidRPr="00254BF3">
        <w:t>4</w:t>
      </w:r>
      <w:r w:rsidR="00CC45D5" w:rsidRPr="00254BF3">
        <w:t>, t</w:t>
      </w:r>
      <w:r w:rsidR="00733675" w:rsidRPr="00254BF3">
        <w:t xml:space="preserve">he </w:t>
      </w:r>
      <w:r w:rsidR="00533B96" w:rsidRPr="00254BF3">
        <w:rPr>
          <w:rFonts w:cs="Arial"/>
        </w:rPr>
        <w:t xml:space="preserve">assessment approach first sought to establish the evidence for a mechanism or mode of action underpinning the bifidogenic </w:t>
      </w:r>
      <w:r w:rsidR="00533B96" w:rsidRPr="00BA78BB">
        <w:rPr>
          <w:rFonts w:cs="Arial"/>
        </w:rPr>
        <w:t>effect</w:t>
      </w:r>
      <w:r w:rsidR="00533B96">
        <w:rPr>
          <w:rFonts w:cs="Arial"/>
        </w:rPr>
        <w:t xml:space="preserve">. This was established in </w:t>
      </w:r>
      <w:r w:rsidR="00533B96" w:rsidRPr="007B2928">
        <w:rPr>
          <w:rFonts w:cs="Arial"/>
          <w:i/>
        </w:rPr>
        <w:t>in vitro</w:t>
      </w:r>
      <w:r w:rsidR="00533B96">
        <w:rPr>
          <w:rFonts w:cs="Arial"/>
        </w:rPr>
        <w:t xml:space="preserve"> studies showing that bifidobacteria are able to metabolise 2’FL and LNnT giving them a selective growth advantage. The next step assess</w:t>
      </w:r>
      <w:r w:rsidR="00533B96" w:rsidRPr="00533B96">
        <w:rPr>
          <w:rFonts w:cs="Arial"/>
        </w:rPr>
        <w:t xml:space="preserve">ed evidence from studies </w:t>
      </w:r>
      <w:r w:rsidR="00533B96">
        <w:rPr>
          <w:rFonts w:cs="Arial"/>
        </w:rPr>
        <w:t xml:space="preserve">which examined </w:t>
      </w:r>
      <w:r w:rsidR="00533B96" w:rsidRPr="00533B96">
        <w:rPr>
          <w:rFonts w:cs="Arial"/>
        </w:rPr>
        <w:t>microbiota development of breastfed and formula</w:t>
      </w:r>
      <w:r w:rsidR="0027557C">
        <w:rPr>
          <w:rFonts w:cs="Arial"/>
        </w:rPr>
        <w:t>-</w:t>
      </w:r>
      <w:r w:rsidR="00533B96" w:rsidRPr="00533B96">
        <w:rPr>
          <w:rFonts w:cs="Arial"/>
        </w:rPr>
        <w:t>fed infants</w:t>
      </w:r>
      <w:r w:rsidR="00533B96">
        <w:rPr>
          <w:rFonts w:cs="Arial"/>
        </w:rPr>
        <w:t xml:space="preserve">. This </w:t>
      </w:r>
      <w:r w:rsidR="00533B96" w:rsidRPr="00533B96">
        <w:rPr>
          <w:rFonts w:cs="Arial"/>
        </w:rPr>
        <w:t>show</w:t>
      </w:r>
      <w:r w:rsidR="00533B96">
        <w:rPr>
          <w:rFonts w:cs="Arial"/>
        </w:rPr>
        <w:t xml:space="preserve">ed that the presence of </w:t>
      </w:r>
      <w:r w:rsidR="00533B96" w:rsidRPr="00533B96">
        <w:rPr>
          <w:rFonts w:cs="Arial"/>
        </w:rPr>
        <w:t>fucosylated oligosaccharides, including 2’-FL, in the infant diet has a bifidogenic effect and that the microbiota composition is more diverse in formula</w:t>
      </w:r>
      <w:r w:rsidR="004A15C0">
        <w:rPr>
          <w:rFonts w:cs="Arial"/>
        </w:rPr>
        <w:t>-</w:t>
      </w:r>
      <w:r w:rsidR="00533B96" w:rsidRPr="00533B96">
        <w:rPr>
          <w:rFonts w:cs="Arial"/>
        </w:rPr>
        <w:t>fed infants compared to breastfed infants.</w:t>
      </w:r>
      <w:r w:rsidR="00533B96">
        <w:rPr>
          <w:rFonts w:cs="Arial"/>
        </w:rPr>
        <w:t xml:space="preserve"> C</w:t>
      </w:r>
      <w:r w:rsidR="00533B96" w:rsidRPr="005D3A32">
        <w:rPr>
          <w:rFonts w:cs="Arial"/>
        </w:rPr>
        <w:t xml:space="preserve">linical trial evidence </w:t>
      </w:r>
      <w:r w:rsidR="00533B96">
        <w:rPr>
          <w:rFonts w:cs="Arial"/>
        </w:rPr>
        <w:t xml:space="preserve">was also examined which compared breastfed infants with </w:t>
      </w:r>
      <w:r w:rsidR="00533B96" w:rsidRPr="005D3A32">
        <w:rPr>
          <w:rFonts w:cs="Arial"/>
        </w:rPr>
        <w:t>infants fed unsupplemented form</w:t>
      </w:r>
      <w:r w:rsidR="00533B96">
        <w:rPr>
          <w:rFonts w:cs="Arial"/>
        </w:rPr>
        <w:t xml:space="preserve">ula and </w:t>
      </w:r>
      <w:r w:rsidR="00533B96" w:rsidRPr="005D3A32">
        <w:rPr>
          <w:rFonts w:cs="Arial"/>
        </w:rPr>
        <w:t xml:space="preserve">formula supplemented with 2’FL and LNnT. This showed that formula supplemented with 2’FL and LNnT was </w:t>
      </w:r>
      <w:r w:rsidR="00533B96">
        <w:rPr>
          <w:rFonts w:cs="Arial"/>
        </w:rPr>
        <w:t xml:space="preserve">both </w:t>
      </w:r>
      <w:r w:rsidR="00533B96" w:rsidRPr="005D3A32">
        <w:rPr>
          <w:rFonts w:cs="Arial"/>
        </w:rPr>
        <w:t xml:space="preserve">bifidogenic and also resulted in a shift to a intestinal microflora composition that more closely resembled </w:t>
      </w:r>
      <w:r w:rsidR="00533B96">
        <w:rPr>
          <w:rFonts w:cs="Arial"/>
        </w:rPr>
        <w:t xml:space="preserve">that of </w:t>
      </w:r>
      <w:r w:rsidR="00533B96" w:rsidRPr="005D3A32">
        <w:rPr>
          <w:rFonts w:cs="Arial"/>
        </w:rPr>
        <w:t xml:space="preserve">the breastfed infants. </w:t>
      </w:r>
    </w:p>
    <w:p w14:paraId="5DC4DCB4" w14:textId="053C4F84" w:rsidR="00067894" w:rsidRPr="00A26221" w:rsidRDefault="00067894" w:rsidP="00251302">
      <w:pPr>
        <w:rPr>
          <w:rFonts w:cs="Arial"/>
        </w:rPr>
      </w:pPr>
    </w:p>
    <w:p w14:paraId="5AC8339D" w14:textId="33F43A6C" w:rsidR="00733675" w:rsidRDefault="00533B96" w:rsidP="00533B96">
      <w:r>
        <w:t>T</w:t>
      </w:r>
      <w:r w:rsidR="00733675">
        <w:t xml:space="preserve">he evidence assessed by FSANZ from </w:t>
      </w:r>
      <w:r w:rsidR="005320AD">
        <w:t xml:space="preserve">in vitro and </w:t>
      </w:r>
      <w:r w:rsidR="00733675">
        <w:t>human studies</w:t>
      </w:r>
      <w:r>
        <w:t xml:space="preserve"> </w:t>
      </w:r>
      <w:r w:rsidR="005320AD">
        <w:t>demonstrates</w:t>
      </w:r>
      <w:r w:rsidR="00890618">
        <w:t xml:space="preserve"> the likelihood of </w:t>
      </w:r>
      <w:r w:rsidR="00733675">
        <w:t>formula supplemented with 2’-FL and LNnT ha</w:t>
      </w:r>
      <w:r w:rsidR="00890618">
        <w:t xml:space="preserve">ving </w:t>
      </w:r>
      <w:r w:rsidR="00733675">
        <w:t xml:space="preserve">a bifidogenic effect in </w:t>
      </w:r>
      <w:r>
        <w:t>humans</w:t>
      </w:r>
      <w:r w:rsidR="00D0239C">
        <w:t>,</w:t>
      </w:r>
      <w:r>
        <w:t xml:space="preserve"> including </w:t>
      </w:r>
      <w:r w:rsidR="00D0239C">
        <w:t xml:space="preserve">in </w:t>
      </w:r>
      <w:r w:rsidR="00733675" w:rsidRPr="000519C3">
        <w:t>infants</w:t>
      </w:r>
      <w:r w:rsidR="00277184">
        <w:t xml:space="preserve"> and toddlers</w:t>
      </w:r>
      <w:r w:rsidR="00733675" w:rsidRPr="000519C3">
        <w:t xml:space="preserve">. </w:t>
      </w:r>
    </w:p>
    <w:p w14:paraId="446FC4C9" w14:textId="2AD4F1DE" w:rsidR="00127B0F" w:rsidRDefault="00127B0F" w:rsidP="00022C47">
      <w:pPr>
        <w:keepNext/>
        <w:keepLines/>
      </w:pPr>
      <w:r w:rsidRPr="00FC5D95">
        <w:rPr>
          <w:color w:val="000000" w:themeColor="text1"/>
        </w:rPr>
        <w:t xml:space="preserve"> </w:t>
      </w:r>
    </w:p>
    <w:p w14:paraId="1F35025B" w14:textId="77777777" w:rsidR="00127B0F" w:rsidRDefault="00127B0F" w:rsidP="00127B0F">
      <w:pPr>
        <w:pStyle w:val="FSTableHeading"/>
        <w:keepNext/>
        <w:keepLines/>
        <w:sectPr w:rsidR="00127B0F" w:rsidSect="00D2362C">
          <w:pgSz w:w="11906" w:h="16838" w:code="9"/>
          <w:pgMar w:top="1418" w:right="1418" w:bottom="1418" w:left="1418" w:header="709" w:footer="709" w:gutter="0"/>
          <w:cols w:space="708"/>
          <w:docGrid w:linePitch="360"/>
        </w:sectPr>
      </w:pPr>
    </w:p>
    <w:p w14:paraId="77C91435" w14:textId="77777777" w:rsidR="007F0D72" w:rsidRDefault="007F0D72" w:rsidP="007F0D72">
      <w:pPr>
        <w:pStyle w:val="FSFigureTitle"/>
      </w:pPr>
      <w:r>
        <w:t xml:space="preserve">Figure 1: Comparison of oligosaccharide levels in regulation and human milk </w:t>
      </w:r>
    </w:p>
    <w:p w14:paraId="78193022" w14:textId="77777777" w:rsidR="007F0D72" w:rsidRDefault="007F0D72" w:rsidP="007F0D72">
      <w:pPr>
        <w:widowControl/>
        <w:rPr>
          <w:szCs w:val="22"/>
        </w:rPr>
      </w:pPr>
      <w:r>
        <w:rPr>
          <w:noProof/>
          <w:szCs w:val="22"/>
          <w:lang w:eastAsia="en-GB" w:bidi="ar-SA"/>
        </w:rPr>
        <w:drawing>
          <wp:inline distT="0" distB="0" distL="0" distR="0" wp14:anchorId="77B08A0E" wp14:editId="4AAD4448">
            <wp:extent cx="8246448" cy="451144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471" cy="4516383"/>
                    </a:xfrm>
                    <a:prstGeom prst="rect">
                      <a:avLst/>
                    </a:prstGeom>
                    <a:noFill/>
                  </pic:spPr>
                </pic:pic>
              </a:graphicData>
            </a:graphic>
          </wp:inline>
        </w:drawing>
      </w:r>
    </w:p>
    <w:p w14:paraId="7958845B" w14:textId="77777777" w:rsidR="007F0D72" w:rsidRDefault="007F0D72" w:rsidP="007F0D72">
      <w:pPr>
        <w:pStyle w:val="FootnoteText"/>
      </w:pPr>
      <w:r>
        <w:t xml:space="preserve">Notes to figure: </w:t>
      </w:r>
    </w:p>
    <w:p w14:paraId="53DA8893" w14:textId="77777777" w:rsidR="007F0D72" w:rsidRDefault="007F0D72" w:rsidP="007F0D72">
      <w:pPr>
        <w:pStyle w:val="FootnoteText"/>
      </w:pPr>
      <w:r>
        <w:t xml:space="preserve">Human milk levels based on Table </w:t>
      </w:r>
      <w:hyperlink r:id="rId31" w:history="1">
        <w:r w:rsidRPr="00ED74BA">
          <w:rPr>
            <w:rStyle w:val="Hyperlink"/>
            <w:szCs w:val="22"/>
          </w:rPr>
          <w:t xml:space="preserve">3.13 and 3.14 in SD1 at </w:t>
        </w:r>
        <w:r>
          <w:rPr>
            <w:rStyle w:val="Hyperlink"/>
            <w:szCs w:val="22"/>
          </w:rPr>
          <w:t>2nd</w:t>
        </w:r>
        <w:r w:rsidRPr="00ED74BA">
          <w:rPr>
            <w:rStyle w:val="Hyperlink"/>
            <w:szCs w:val="22"/>
          </w:rPr>
          <w:t xml:space="preserve"> CFS.</w:t>
        </w:r>
      </w:hyperlink>
    </w:p>
    <w:p w14:paraId="01B65070" w14:textId="77777777" w:rsidR="007F0D72" w:rsidRDefault="007F0D72" w:rsidP="007F0D72">
      <w:pPr>
        <w:widowControl/>
        <w:rPr>
          <w:szCs w:val="22"/>
        </w:rPr>
      </w:pPr>
    </w:p>
    <w:p w14:paraId="4A3894C8" w14:textId="77777777" w:rsidR="007F0D72" w:rsidRDefault="007F0D72" w:rsidP="007F0D72">
      <w:pPr>
        <w:widowControl/>
        <w:rPr>
          <w:szCs w:val="22"/>
        </w:rPr>
      </w:pPr>
    </w:p>
    <w:p w14:paraId="78487F59" w14:textId="4417224C" w:rsidR="00FC5D95" w:rsidRDefault="00733675" w:rsidP="00022C47">
      <w:pPr>
        <w:pStyle w:val="FSTableHeading"/>
        <w:keepNext/>
        <w:keepLines/>
      </w:pPr>
      <w:r>
        <w:t xml:space="preserve">Table </w:t>
      </w:r>
      <w:r w:rsidR="00E355FC">
        <w:t>4</w:t>
      </w:r>
      <w:r>
        <w:t xml:space="preserve">: Summary of the evidence base </w:t>
      </w:r>
      <w:r w:rsidR="009A420A">
        <w:t xml:space="preserve">for bifidogenic effect </w:t>
      </w:r>
    </w:p>
    <w:tbl>
      <w:tblPr>
        <w:tblStyle w:val="TableGrid"/>
        <w:tblW w:w="13608" w:type="dxa"/>
        <w:tblLook w:val="04A0" w:firstRow="1" w:lastRow="0" w:firstColumn="1" w:lastColumn="0" w:noHBand="0" w:noVBand="1"/>
      </w:tblPr>
      <w:tblGrid>
        <w:gridCol w:w="2547"/>
        <w:gridCol w:w="3385"/>
        <w:gridCol w:w="3749"/>
        <w:gridCol w:w="3927"/>
      </w:tblGrid>
      <w:tr w:rsidR="00FC5D95" w:rsidRPr="006B7145" w14:paraId="421F8F7F" w14:textId="77777777" w:rsidTr="004D2CF1">
        <w:trPr>
          <w:trHeight w:val="463"/>
          <w:tblHeader/>
        </w:trPr>
        <w:tc>
          <w:tcPr>
            <w:tcW w:w="2546" w:type="dxa"/>
            <w:shd w:val="clear" w:color="auto" w:fill="DBE5F1" w:themeFill="accent1" w:themeFillTint="33"/>
          </w:tcPr>
          <w:p w14:paraId="104A6E13" w14:textId="77777777" w:rsidR="00FC5D95" w:rsidRPr="007423EA" w:rsidRDefault="00FC5D95" w:rsidP="00022C47">
            <w:pPr>
              <w:keepNext/>
              <w:keepLines/>
              <w:rPr>
                <w:b/>
              </w:rPr>
            </w:pPr>
            <w:r w:rsidRPr="007423EA">
              <w:rPr>
                <w:b/>
              </w:rPr>
              <w:t xml:space="preserve">Type of studies </w:t>
            </w:r>
          </w:p>
        </w:tc>
        <w:tc>
          <w:tcPr>
            <w:tcW w:w="3386" w:type="dxa"/>
            <w:shd w:val="clear" w:color="auto" w:fill="DBE5F1" w:themeFill="accent1" w:themeFillTint="33"/>
          </w:tcPr>
          <w:p w14:paraId="126D8262" w14:textId="77777777" w:rsidR="00FC5D95" w:rsidRPr="007423EA" w:rsidRDefault="00FC5D95" w:rsidP="00022C47">
            <w:pPr>
              <w:keepNext/>
              <w:keepLines/>
              <w:rPr>
                <w:b/>
              </w:rPr>
            </w:pPr>
            <w:r w:rsidRPr="007423EA">
              <w:rPr>
                <w:b/>
              </w:rPr>
              <w:t>Key studies</w:t>
            </w:r>
          </w:p>
        </w:tc>
        <w:tc>
          <w:tcPr>
            <w:tcW w:w="3748" w:type="dxa"/>
            <w:shd w:val="clear" w:color="auto" w:fill="DBE5F1" w:themeFill="accent1" w:themeFillTint="33"/>
          </w:tcPr>
          <w:p w14:paraId="0E2F94EA" w14:textId="77777777" w:rsidR="00FC5D95" w:rsidRPr="007423EA" w:rsidRDefault="00FC5D95" w:rsidP="00022C47">
            <w:pPr>
              <w:keepNext/>
              <w:keepLines/>
              <w:rPr>
                <w:b/>
              </w:rPr>
            </w:pPr>
            <w:r w:rsidRPr="007423EA">
              <w:rPr>
                <w:b/>
              </w:rPr>
              <w:t xml:space="preserve">Main findings </w:t>
            </w:r>
          </w:p>
        </w:tc>
        <w:tc>
          <w:tcPr>
            <w:tcW w:w="3928" w:type="dxa"/>
            <w:shd w:val="clear" w:color="auto" w:fill="DBE5F1" w:themeFill="accent1" w:themeFillTint="33"/>
          </w:tcPr>
          <w:p w14:paraId="52708808" w14:textId="77777777" w:rsidR="00FC5D95" w:rsidRPr="007423EA" w:rsidRDefault="00FC5D95" w:rsidP="00022C47">
            <w:pPr>
              <w:keepNext/>
              <w:keepLines/>
              <w:rPr>
                <w:b/>
              </w:rPr>
            </w:pPr>
            <w:r w:rsidRPr="007423EA">
              <w:rPr>
                <w:b/>
              </w:rPr>
              <w:t xml:space="preserve">Why this is important </w:t>
            </w:r>
          </w:p>
        </w:tc>
      </w:tr>
      <w:tr w:rsidR="00FC5D95" w14:paraId="3831E506" w14:textId="77777777" w:rsidTr="002A2E09">
        <w:trPr>
          <w:trHeight w:val="1655"/>
        </w:trPr>
        <w:tc>
          <w:tcPr>
            <w:tcW w:w="2709" w:type="dxa"/>
          </w:tcPr>
          <w:p w14:paraId="4FD0C6E3" w14:textId="04B8A9B9" w:rsidR="00FC5D95" w:rsidRPr="00127B0F" w:rsidRDefault="00FC5D95" w:rsidP="00022C47">
            <w:pPr>
              <w:pStyle w:val="FSTableText"/>
            </w:pPr>
            <w:r w:rsidRPr="00127B0F">
              <w:rPr>
                <w:i/>
              </w:rPr>
              <w:t>In vitro</w:t>
            </w:r>
            <w:r w:rsidRPr="00127B0F">
              <w:t xml:space="preserve"> bacterial growth</w:t>
            </w:r>
            <w:r w:rsidR="0092140E" w:rsidRPr="00127B0F">
              <w:t xml:space="preserve">/utilisation </w:t>
            </w:r>
            <w:r w:rsidRPr="00127B0F">
              <w:t>studies on 2’-FL and LNnT</w:t>
            </w:r>
          </w:p>
          <w:p w14:paraId="176AE4CF" w14:textId="77777777" w:rsidR="00FC5D95" w:rsidRPr="00127B0F" w:rsidRDefault="00FC5D95" w:rsidP="00022C47">
            <w:pPr>
              <w:pStyle w:val="FSTableText"/>
            </w:pPr>
          </w:p>
          <w:p w14:paraId="7AD893B7" w14:textId="77777777" w:rsidR="00FC5D95" w:rsidRPr="00127B0F" w:rsidRDefault="00FC5D95" w:rsidP="00022C47">
            <w:pPr>
              <w:pStyle w:val="FSTableText"/>
            </w:pPr>
          </w:p>
        </w:tc>
        <w:tc>
          <w:tcPr>
            <w:tcW w:w="3786" w:type="dxa"/>
          </w:tcPr>
          <w:p w14:paraId="4E716385" w14:textId="5304F7DD" w:rsidR="00255893" w:rsidRDefault="00FC5D95" w:rsidP="00022C47">
            <w:pPr>
              <w:pStyle w:val="FSTableText"/>
            </w:pPr>
            <w:r w:rsidRPr="00127B0F">
              <w:t>Asakuma et al. (2011)</w:t>
            </w:r>
          </w:p>
          <w:p w14:paraId="301AC089" w14:textId="57C7E807" w:rsidR="00255893" w:rsidRDefault="00FC5D95" w:rsidP="00022C47">
            <w:pPr>
              <w:pStyle w:val="FSTableText"/>
            </w:pPr>
            <w:r w:rsidRPr="00127B0F">
              <w:t>Bunesova et al. (2016)</w:t>
            </w:r>
          </w:p>
          <w:p w14:paraId="034E4E08" w14:textId="1C142722" w:rsidR="00255893" w:rsidRDefault="00FC5D95" w:rsidP="00022C47">
            <w:pPr>
              <w:pStyle w:val="FSTableText"/>
            </w:pPr>
            <w:r w:rsidRPr="00127B0F">
              <w:t>Garrido et al. (2015)</w:t>
            </w:r>
          </w:p>
          <w:p w14:paraId="5E1AEC36" w14:textId="2A973A0C" w:rsidR="00255893" w:rsidRDefault="00FC5D95" w:rsidP="00022C47">
            <w:pPr>
              <w:pStyle w:val="FSTableText"/>
            </w:pPr>
            <w:r w:rsidRPr="00127B0F">
              <w:t>Garrido et al. (2016)</w:t>
            </w:r>
          </w:p>
          <w:p w14:paraId="24D6E4A5" w14:textId="491B58B8" w:rsidR="00255893" w:rsidRDefault="00FC5D95" w:rsidP="00022C47">
            <w:pPr>
              <w:pStyle w:val="FSTableText"/>
            </w:pPr>
            <w:r w:rsidRPr="00127B0F">
              <w:t>Ruiz-Moyano et al. (2013)</w:t>
            </w:r>
          </w:p>
          <w:p w14:paraId="5031C86F" w14:textId="3A9D4ADC" w:rsidR="00255893" w:rsidRDefault="00FC5D95" w:rsidP="00022C47">
            <w:pPr>
              <w:pStyle w:val="FSTableText"/>
            </w:pPr>
            <w:r w:rsidRPr="00127B0F">
              <w:t>Yu et al. (2013a)</w:t>
            </w:r>
          </w:p>
          <w:p w14:paraId="417044F6" w14:textId="427AC04B" w:rsidR="00FC5D95" w:rsidRPr="00127B0F" w:rsidRDefault="00FC5D95" w:rsidP="00022C47">
            <w:pPr>
              <w:pStyle w:val="FSTableText"/>
            </w:pPr>
            <w:r w:rsidRPr="00127B0F">
              <w:t>Yu et al. (2013b)</w:t>
            </w:r>
          </w:p>
        </w:tc>
        <w:tc>
          <w:tcPr>
            <w:tcW w:w="4143" w:type="dxa"/>
          </w:tcPr>
          <w:p w14:paraId="0447C791" w14:textId="77777777" w:rsidR="00FC5D95" w:rsidRDefault="00FC5D95" w:rsidP="00022C47">
            <w:pPr>
              <w:pStyle w:val="FSTableText"/>
            </w:pPr>
            <w:r w:rsidRPr="00127B0F">
              <w:t xml:space="preserve">These studies show that bifidobacteria and a limited number of other bacteria that are typically a component of the infant microflora, such as </w:t>
            </w:r>
            <w:r w:rsidRPr="00127B0F">
              <w:rPr>
                <w:i/>
              </w:rPr>
              <w:t>Bacteroides</w:t>
            </w:r>
            <w:r w:rsidRPr="00127B0F">
              <w:t xml:space="preserve"> spp., have the ability to metabolise 2’-FL or LNnT, whereas other bacteria such as </w:t>
            </w:r>
            <w:r w:rsidRPr="00127B0F">
              <w:rPr>
                <w:i/>
              </w:rPr>
              <w:t>E. coli</w:t>
            </w:r>
            <w:r w:rsidRPr="00127B0F">
              <w:t xml:space="preserve">, are unable to utilise 2’-FL for growth. </w:t>
            </w:r>
          </w:p>
          <w:p w14:paraId="0B1257A7" w14:textId="27B5CB5F" w:rsidR="00DF2089" w:rsidRPr="00127B0F" w:rsidRDefault="00DF2089" w:rsidP="00022C47">
            <w:pPr>
              <w:pStyle w:val="FSTableText"/>
            </w:pPr>
          </w:p>
        </w:tc>
        <w:tc>
          <w:tcPr>
            <w:tcW w:w="4347" w:type="dxa"/>
          </w:tcPr>
          <w:p w14:paraId="59B963AE" w14:textId="77777777" w:rsidR="00FC5D95" w:rsidRPr="00127B0F" w:rsidRDefault="00FC5D95" w:rsidP="00022C47">
            <w:pPr>
              <w:pStyle w:val="FSTableText"/>
            </w:pPr>
            <w:r w:rsidRPr="00127B0F">
              <w:t xml:space="preserve">These studies demonstrate the metabolic mechanism that underpins the bifidogenic effect associated with 2’-FL and LNnT and that bifidobacteria have a selective growth advantage when 2’-FL and LNnT are present.  </w:t>
            </w:r>
          </w:p>
        </w:tc>
      </w:tr>
      <w:tr w:rsidR="00FC5D95" w14:paraId="06DF59CA" w14:textId="77777777" w:rsidTr="002A2E09">
        <w:trPr>
          <w:trHeight w:val="2121"/>
        </w:trPr>
        <w:tc>
          <w:tcPr>
            <w:tcW w:w="2709" w:type="dxa"/>
          </w:tcPr>
          <w:p w14:paraId="6D2BF6B6" w14:textId="77777777" w:rsidR="00FC5D95" w:rsidRPr="00127B0F" w:rsidRDefault="00FC5D95" w:rsidP="00022C47">
            <w:pPr>
              <w:pStyle w:val="FSTableText"/>
              <w:rPr>
                <w:lang w:eastAsia="en-AU" w:bidi="ar-SA"/>
              </w:rPr>
            </w:pPr>
            <w:r w:rsidRPr="00127B0F">
              <w:t>M</w:t>
            </w:r>
            <w:r w:rsidRPr="00127B0F">
              <w:rPr>
                <w:lang w:eastAsia="en-AU" w:bidi="ar-SA"/>
              </w:rPr>
              <w:t>icroflora composition in infants</w:t>
            </w:r>
          </w:p>
          <w:p w14:paraId="4AA494A9" w14:textId="77777777" w:rsidR="00FC5D95" w:rsidRPr="00127B0F" w:rsidRDefault="00FC5D95" w:rsidP="00022C47">
            <w:pPr>
              <w:pStyle w:val="FSTableText"/>
            </w:pPr>
          </w:p>
        </w:tc>
        <w:tc>
          <w:tcPr>
            <w:tcW w:w="3786" w:type="dxa"/>
          </w:tcPr>
          <w:p w14:paraId="2B5B9E07" w14:textId="5D6C8092" w:rsidR="00B14809" w:rsidRPr="00127B0F" w:rsidRDefault="00FC5D95" w:rsidP="00022C47">
            <w:pPr>
              <w:pStyle w:val="FSTableText"/>
              <w:rPr>
                <w:lang w:eastAsia="en-AU" w:bidi="ar-SA"/>
              </w:rPr>
            </w:pPr>
            <w:r w:rsidRPr="00127B0F">
              <w:rPr>
                <w:lang w:eastAsia="en-AU" w:bidi="ar-SA"/>
              </w:rPr>
              <w:fldChar w:fldCharType="begin"/>
            </w:r>
            <w:r w:rsidRPr="00127B0F">
              <w:rPr>
                <w:lang w:eastAsia="en-AU" w:bidi="ar-SA"/>
              </w:rPr>
              <w:instrText>ADDIN CITAVI.PLACEHOLDER 46c75e8a-ed54-4fb3-83d8-3721a20ea49e 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QmV6aXJ0em9nbG91IGV0IGFsLjwvVGV4dD4NCiAgICA8L1RleHRVbml0Pg0KICA8L1RleHRVbml0cz4NCjwvUGxhY2Vob2xkZXI+</w:instrText>
            </w:r>
            <w:r w:rsidRPr="00127B0F">
              <w:rPr>
                <w:lang w:eastAsia="en-AU" w:bidi="ar-SA"/>
              </w:rPr>
              <w:fldChar w:fldCharType="separate"/>
            </w:r>
            <w:r w:rsidRPr="00127B0F">
              <w:rPr>
                <w:lang w:eastAsia="en-AU" w:bidi="ar-SA"/>
              </w:rPr>
              <w:t>Bezirtzoglou et al.</w:t>
            </w:r>
            <w:r w:rsidRPr="00127B0F">
              <w:rPr>
                <w:lang w:eastAsia="en-AU" w:bidi="ar-SA"/>
              </w:rPr>
              <w:fldChar w:fldCharType="end"/>
            </w:r>
            <w:r w:rsidRPr="00127B0F">
              <w:rPr>
                <w:lang w:eastAsia="en-AU" w:bidi="ar-SA"/>
              </w:rPr>
              <w:t xml:space="preserve"> (2011)</w:t>
            </w:r>
          </w:p>
          <w:p w14:paraId="2550EFA3" w14:textId="4AA104C3" w:rsidR="00B14809" w:rsidRPr="00127B0F" w:rsidRDefault="00FC5D95" w:rsidP="00022C47">
            <w:pPr>
              <w:pStyle w:val="FSTableText"/>
            </w:pPr>
            <w:r w:rsidRPr="00127B0F">
              <w:rPr>
                <w:lang w:eastAsia="en-AU" w:bidi="ar-SA"/>
              </w:rPr>
              <w:t>Tannock et al. (2013)</w:t>
            </w:r>
          </w:p>
          <w:p w14:paraId="6D3900E9" w14:textId="77777777" w:rsidR="00FC5D95" w:rsidRDefault="00FC5D95" w:rsidP="00022C47">
            <w:pPr>
              <w:pStyle w:val="FSTableText"/>
            </w:pPr>
            <w:r w:rsidRPr="00127B0F">
              <w:t>Lewis et al. (2015)</w:t>
            </w:r>
          </w:p>
          <w:p w14:paraId="5E99DA9A" w14:textId="3DF6E163" w:rsidR="004D2CF1" w:rsidRPr="00127B0F" w:rsidRDefault="004D2CF1" w:rsidP="00022C47">
            <w:pPr>
              <w:pStyle w:val="FSTableText"/>
            </w:pPr>
            <w:r>
              <w:t>Smith-Brown et al. (2016)</w:t>
            </w:r>
          </w:p>
        </w:tc>
        <w:tc>
          <w:tcPr>
            <w:tcW w:w="4143" w:type="dxa"/>
          </w:tcPr>
          <w:p w14:paraId="4F643FEE" w14:textId="2D24C1C7" w:rsidR="00FC5D95" w:rsidRPr="00127B0F" w:rsidRDefault="00FC5D95" w:rsidP="001D1357">
            <w:pPr>
              <w:pStyle w:val="FSTableText"/>
            </w:pPr>
            <w:r w:rsidRPr="00127B0F">
              <w:t>These studies show that fucosylated oligosaccharides present in human milk, including 2’-FL, have</w:t>
            </w:r>
            <w:r w:rsidR="008A0E95" w:rsidRPr="00127B0F">
              <w:t xml:space="preserve"> a bifidogenic effect and that </w:t>
            </w:r>
            <w:r w:rsidRPr="00127B0F">
              <w:t>formula</w:t>
            </w:r>
            <w:r w:rsidR="001D1357">
              <w:t>-</w:t>
            </w:r>
            <w:r w:rsidRPr="00127B0F">
              <w:t>fed infants not only have a lower relative abundance of  bifidobacteria but also a faecal microflora that is more diverse.</w:t>
            </w:r>
          </w:p>
        </w:tc>
        <w:tc>
          <w:tcPr>
            <w:tcW w:w="4347" w:type="dxa"/>
          </w:tcPr>
          <w:p w14:paraId="53F55C36" w14:textId="77777777" w:rsidR="00FC5D95" w:rsidRPr="00127B0F" w:rsidRDefault="00FC5D95" w:rsidP="00022C47">
            <w:pPr>
              <w:pStyle w:val="FSTableText"/>
            </w:pPr>
            <w:r w:rsidRPr="00127B0F">
              <w:t xml:space="preserve">These studies corroborate the </w:t>
            </w:r>
            <w:r w:rsidRPr="00127B0F">
              <w:rPr>
                <w:i/>
              </w:rPr>
              <w:t>in vitro</w:t>
            </w:r>
            <w:r w:rsidRPr="00127B0F">
              <w:t xml:space="preserve"> studies in demonstrating the growth advantage afforded to bifidobacteria when fucosylated oligosaccharides, including 2’-FL, are present in the infant diet. Thereby supporting the biological plausibility of 2’-FL having a bifidogenic effect.</w:t>
            </w:r>
          </w:p>
        </w:tc>
      </w:tr>
      <w:tr w:rsidR="00FC5D95" w:rsidRPr="00DF2089" w14:paraId="364446EA" w14:textId="77777777" w:rsidTr="002A2E09">
        <w:trPr>
          <w:trHeight w:val="231"/>
        </w:trPr>
        <w:tc>
          <w:tcPr>
            <w:tcW w:w="2709" w:type="dxa"/>
          </w:tcPr>
          <w:p w14:paraId="41844983" w14:textId="77777777" w:rsidR="00FC5D95" w:rsidRPr="008D72EC" w:rsidRDefault="00FC5D95" w:rsidP="00FC5D95">
            <w:pPr>
              <w:rPr>
                <w:sz w:val="20"/>
                <w:szCs w:val="20"/>
              </w:rPr>
            </w:pPr>
            <w:r w:rsidRPr="008D72EC">
              <w:rPr>
                <w:sz w:val="20"/>
                <w:szCs w:val="20"/>
                <w:lang w:eastAsia="en-AU" w:bidi="ar-SA"/>
              </w:rPr>
              <w:t>Clinical studies in infants</w:t>
            </w:r>
          </w:p>
        </w:tc>
        <w:tc>
          <w:tcPr>
            <w:tcW w:w="3786" w:type="dxa"/>
          </w:tcPr>
          <w:p w14:paraId="75908D61" w14:textId="39C61877" w:rsidR="00B14809" w:rsidRPr="008D72EC" w:rsidRDefault="00FC5D95" w:rsidP="00FC5D95">
            <w:pPr>
              <w:rPr>
                <w:sz w:val="20"/>
                <w:szCs w:val="20"/>
                <w:lang w:eastAsia="en-AU" w:bidi="ar-SA"/>
              </w:rPr>
            </w:pPr>
            <w:r w:rsidRPr="008D72EC">
              <w:rPr>
                <w:sz w:val="20"/>
                <w:szCs w:val="20"/>
                <w:lang w:eastAsia="en-AU" w:bidi="ar-SA"/>
              </w:rPr>
              <w:t>Puccio et al (2017)</w:t>
            </w:r>
          </w:p>
          <w:p w14:paraId="7F00A541" w14:textId="37670071" w:rsidR="00B14809" w:rsidRPr="008D72EC" w:rsidRDefault="00FC5D95" w:rsidP="00FC5D95">
            <w:pPr>
              <w:rPr>
                <w:sz w:val="20"/>
                <w:szCs w:val="20"/>
                <w:lang w:eastAsia="en-AU" w:bidi="ar-SA"/>
              </w:rPr>
            </w:pPr>
            <w:r w:rsidRPr="008D72EC">
              <w:rPr>
                <w:sz w:val="20"/>
                <w:szCs w:val="20"/>
                <w:lang w:eastAsia="en-AU" w:bidi="ar-SA"/>
              </w:rPr>
              <w:t>Alliet et al. (2016)</w:t>
            </w:r>
          </w:p>
          <w:p w14:paraId="37A07523" w14:textId="47400B5C" w:rsidR="00FC5D95" w:rsidRPr="008D72EC" w:rsidRDefault="00FC5D95" w:rsidP="00FC5D95">
            <w:pPr>
              <w:rPr>
                <w:sz w:val="20"/>
                <w:szCs w:val="20"/>
              </w:rPr>
            </w:pPr>
            <w:r w:rsidRPr="008D72EC">
              <w:rPr>
                <w:sz w:val="20"/>
                <w:szCs w:val="20"/>
                <w:lang w:eastAsia="en-AU" w:bidi="ar-SA"/>
              </w:rPr>
              <w:t>Steenhout et al. (2016)</w:t>
            </w:r>
          </w:p>
        </w:tc>
        <w:tc>
          <w:tcPr>
            <w:tcW w:w="4143" w:type="dxa"/>
          </w:tcPr>
          <w:p w14:paraId="2D4A1028" w14:textId="3479D68D" w:rsidR="00DF2089" w:rsidRPr="00DF2089" w:rsidRDefault="00FC5D95" w:rsidP="00FC5D95">
            <w:pPr>
              <w:rPr>
                <w:sz w:val="20"/>
                <w:szCs w:val="20"/>
                <w:lang w:eastAsia="en-AU" w:bidi="ar-SA"/>
              </w:rPr>
            </w:pPr>
            <w:r w:rsidRPr="00F976CD">
              <w:rPr>
                <w:sz w:val="20"/>
                <w:szCs w:val="20"/>
                <w:lang w:eastAsia="en-AU" w:bidi="ar-SA"/>
              </w:rPr>
              <w:t>This study provides evidence that the addition of 2′-FL and LNnT to infant formula products influences the infant gut microflora to more closely resemble that of breastfed infants</w:t>
            </w:r>
            <w:r w:rsidRPr="00DF2089">
              <w:rPr>
                <w:sz w:val="20"/>
                <w:szCs w:val="20"/>
              </w:rPr>
              <w:t xml:space="preserve"> and with a higher relative abundance of bifidobacteria compared to infants fed unsupplemented formula</w:t>
            </w:r>
            <w:r w:rsidRPr="00DF2089">
              <w:rPr>
                <w:sz w:val="20"/>
                <w:szCs w:val="20"/>
                <w:lang w:eastAsia="en-AU" w:bidi="ar-SA"/>
              </w:rPr>
              <w:t>.</w:t>
            </w:r>
          </w:p>
          <w:p w14:paraId="0E62711B" w14:textId="77777777" w:rsidR="00FC5D95" w:rsidRPr="00DF2089" w:rsidRDefault="00FC5D95" w:rsidP="00FC5D95">
            <w:pPr>
              <w:rPr>
                <w:sz w:val="20"/>
                <w:szCs w:val="20"/>
              </w:rPr>
            </w:pPr>
          </w:p>
        </w:tc>
        <w:tc>
          <w:tcPr>
            <w:tcW w:w="4347" w:type="dxa"/>
          </w:tcPr>
          <w:p w14:paraId="7199D9C5" w14:textId="338B174E" w:rsidR="00FC5D95" w:rsidRPr="00DF2089" w:rsidRDefault="00FC5D95" w:rsidP="00165183">
            <w:pPr>
              <w:rPr>
                <w:sz w:val="20"/>
                <w:szCs w:val="20"/>
              </w:rPr>
            </w:pPr>
            <w:r w:rsidRPr="00DF2089">
              <w:rPr>
                <w:sz w:val="20"/>
                <w:szCs w:val="20"/>
                <w:lang w:eastAsia="en-AU" w:bidi="ar-SA"/>
              </w:rPr>
              <w:t>This study provides evidence further supporting the biological plausibility of 2’-FL and LNnT supplementation having a bifidogenic effect and an infant gut microflora composition and metabolic profile that more closely resembles breastfed infants.</w:t>
            </w:r>
          </w:p>
        </w:tc>
      </w:tr>
      <w:tr w:rsidR="004D2CF1" w:rsidRPr="00DF2089" w14:paraId="2BDF3ED7" w14:textId="77777777" w:rsidTr="002A2E09">
        <w:trPr>
          <w:trHeight w:val="231"/>
        </w:trPr>
        <w:tc>
          <w:tcPr>
            <w:tcW w:w="2709" w:type="dxa"/>
          </w:tcPr>
          <w:p w14:paraId="36BA9CF2" w14:textId="531B19CA" w:rsidR="004D2CF1" w:rsidRPr="008D72EC" w:rsidRDefault="004D2CF1" w:rsidP="004D2CF1">
            <w:pPr>
              <w:rPr>
                <w:sz w:val="20"/>
                <w:szCs w:val="20"/>
                <w:lang w:eastAsia="en-AU" w:bidi="ar-SA"/>
              </w:rPr>
            </w:pPr>
            <w:r>
              <w:rPr>
                <w:sz w:val="20"/>
                <w:szCs w:val="20"/>
                <w:lang w:eastAsia="en-AU" w:bidi="ar-SA"/>
              </w:rPr>
              <w:t>Study in adults</w:t>
            </w:r>
          </w:p>
        </w:tc>
        <w:tc>
          <w:tcPr>
            <w:tcW w:w="3786" w:type="dxa"/>
          </w:tcPr>
          <w:p w14:paraId="3023B5F9" w14:textId="1052828A" w:rsidR="004D2CF1" w:rsidRPr="008D72EC" w:rsidRDefault="004D2CF1" w:rsidP="004D2CF1">
            <w:pPr>
              <w:rPr>
                <w:sz w:val="20"/>
                <w:szCs w:val="20"/>
                <w:lang w:eastAsia="en-AU" w:bidi="ar-SA"/>
              </w:rPr>
            </w:pPr>
            <w:r>
              <w:rPr>
                <w:sz w:val="20"/>
                <w:szCs w:val="20"/>
                <w:lang w:eastAsia="en-AU" w:bidi="ar-SA"/>
              </w:rPr>
              <w:t>Elison et al. (2016)</w:t>
            </w:r>
          </w:p>
        </w:tc>
        <w:tc>
          <w:tcPr>
            <w:tcW w:w="4143" w:type="dxa"/>
          </w:tcPr>
          <w:p w14:paraId="6508E4ED" w14:textId="4866ABB8" w:rsidR="004D2CF1" w:rsidRPr="00F976CD" w:rsidRDefault="004D2CF1" w:rsidP="004D2CF1">
            <w:pPr>
              <w:rPr>
                <w:sz w:val="20"/>
                <w:szCs w:val="20"/>
                <w:lang w:eastAsia="en-AU" w:bidi="ar-SA"/>
              </w:rPr>
            </w:pPr>
            <w:r>
              <w:rPr>
                <w:sz w:val="20"/>
                <w:szCs w:val="20"/>
                <w:lang w:eastAsia="en-AU" w:bidi="ar-SA"/>
              </w:rPr>
              <w:t xml:space="preserve">Supplementation of an adult study population with either 2’-FL or LNnT or a combination of both HMOs resulted in an increased relative abundance of </w:t>
            </w:r>
            <w:r w:rsidRPr="005B51BF">
              <w:rPr>
                <w:i/>
                <w:sz w:val="20"/>
                <w:szCs w:val="20"/>
                <w:lang w:eastAsia="en-AU" w:bidi="ar-SA"/>
              </w:rPr>
              <w:t>Bifidobacterium</w:t>
            </w:r>
            <w:r>
              <w:rPr>
                <w:sz w:val="20"/>
                <w:szCs w:val="20"/>
                <w:lang w:eastAsia="en-AU" w:bidi="ar-SA"/>
              </w:rPr>
              <w:t xml:space="preserve"> an </w:t>
            </w:r>
            <w:r w:rsidRPr="005B51BF">
              <w:rPr>
                <w:i/>
                <w:sz w:val="20"/>
                <w:szCs w:val="20"/>
                <w:lang w:eastAsia="en-AU" w:bidi="ar-SA"/>
              </w:rPr>
              <w:t>Actinobcter</w:t>
            </w:r>
            <w:r>
              <w:rPr>
                <w:sz w:val="20"/>
                <w:szCs w:val="20"/>
                <w:lang w:eastAsia="en-AU" w:bidi="ar-SA"/>
              </w:rPr>
              <w:t xml:space="preserve"> in a dose dependant manner.</w:t>
            </w:r>
          </w:p>
        </w:tc>
        <w:tc>
          <w:tcPr>
            <w:tcW w:w="4347" w:type="dxa"/>
          </w:tcPr>
          <w:p w14:paraId="21433F47" w14:textId="247C6428" w:rsidR="004D2CF1" w:rsidRPr="00DF2089" w:rsidRDefault="004D2CF1" w:rsidP="004D2CF1">
            <w:pPr>
              <w:rPr>
                <w:sz w:val="20"/>
                <w:szCs w:val="20"/>
                <w:lang w:eastAsia="en-AU" w:bidi="ar-SA"/>
              </w:rPr>
            </w:pPr>
            <w:r>
              <w:rPr>
                <w:sz w:val="20"/>
                <w:szCs w:val="20"/>
                <w:lang w:eastAsia="en-AU" w:bidi="ar-SA"/>
              </w:rPr>
              <w:t>This study provides further evidence supporting</w:t>
            </w:r>
            <w:r>
              <w:t xml:space="preserve"> </w:t>
            </w:r>
            <w:r w:rsidRPr="000C5916">
              <w:rPr>
                <w:sz w:val="20"/>
                <w:szCs w:val="20"/>
                <w:lang w:eastAsia="en-AU" w:bidi="ar-SA"/>
              </w:rPr>
              <w:t>the biological plausibility of 2’-FL and LNnT supplementa</w:t>
            </w:r>
            <w:r>
              <w:rPr>
                <w:sz w:val="20"/>
                <w:szCs w:val="20"/>
                <w:lang w:eastAsia="en-AU" w:bidi="ar-SA"/>
              </w:rPr>
              <w:t xml:space="preserve">tion having a bifidogenic effect and that the effect is not restricted to infant populations and likely dose dependant.   </w:t>
            </w:r>
          </w:p>
        </w:tc>
      </w:tr>
    </w:tbl>
    <w:p w14:paraId="74614BA8" w14:textId="77777777" w:rsidR="00FC5D95" w:rsidRDefault="00FC5D95" w:rsidP="00FC5D95"/>
    <w:p w14:paraId="4CDB0592" w14:textId="77777777" w:rsidR="00D50475" w:rsidRDefault="00D50475" w:rsidP="00FC5D95">
      <w:pPr>
        <w:rPr>
          <w:color w:val="000000" w:themeColor="text1"/>
        </w:rPr>
        <w:sectPr w:rsidR="00D50475" w:rsidSect="00D2362C">
          <w:footerReference w:type="default" r:id="rId32"/>
          <w:pgSz w:w="16838" w:h="11906" w:orient="landscape" w:code="9"/>
          <w:pgMar w:top="1418" w:right="1418" w:bottom="1418" w:left="1418" w:header="709" w:footer="709" w:gutter="0"/>
          <w:cols w:space="708"/>
          <w:docGrid w:linePitch="360"/>
        </w:sectPr>
      </w:pPr>
    </w:p>
    <w:p w14:paraId="24EF6D5D" w14:textId="493DFCE6" w:rsidR="00D50475" w:rsidRPr="00FC5D95" w:rsidRDefault="00D50475" w:rsidP="00D50475">
      <w:pPr>
        <w:pStyle w:val="Heading4"/>
      </w:pPr>
      <w:r>
        <w:t>2.2.</w:t>
      </w:r>
      <w:r w:rsidR="00797E0F">
        <w:t>3</w:t>
      </w:r>
      <w:r>
        <w:t>.2</w:t>
      </w:r>
      <w:r>
        <w:tab/>
      </w:r>
      <w:r w:rsidRPr="00FC5D95">
        <w:t xml:space="preserve">Pathogen binding effect </w:t>
      </w:r>
    </w:p>
    <w:p w14:paraId="10435F8E" w14:textId="31B1D0B2" w:rsidR="00D50475" w:rsidRDefault="00D50475" w:rsidP="00D50475">
      <w:r>
        <w:t>In full-term infants, breastfeeding exclusively from 3-6 months of age and partially thereafter, has been associated with a significant reduction in infections of the gastrointestinal tract of infants</w:t>
      </w:r>
      <w:r w:rsidR="004037A4">
        <w:t xml:space="preserve"> </w:t>
      </w:r>
      <w:r w:rsidR="004037A4" w:rsidRPr="004037A4">
        <w:t>(Kramer et al. 2001; Kramer et al. 2003; Duijts et al. 2010</w:t>
      </w:r>
      <w:r w:rsidR="004037A4">
        <w:t xml:space="preserve">; </w:t>
      </w:r>
      <w:r w:rsidR="004037A4" w:rsidRPr="004037A4">
        <w:t>Tarrant et al. 201</w:t>
      </w:r>
      <w:r w:rsidR="004037A4">
        <w:t>0</w:t>
      </w:r>
      <w:r w:rsidR="004037A4" w:rsidRPr="004037A4">
        <w:t>)</w:t>
      </w:r>
      <w:r>
        <w:t xml:space="preserve">. Oligosaccharides in human milk are one of the components attributed to this protective effect (Lawrence and Pane 2007; Cacho and Lawrence 2017). </w:t>
      </w:r>
    </w:p>
    <w:p w14:paraId="03B5969B" w14:textId="77777777" w:rsidR="00D50475" w:rsidRDefault="00D50475" w:rsidP="00D50475"/>
    <w:p w14:paraId="027D54D0" w14:textId="47C54E1D" w:rsidR="00FC5D95" w:rsidRPr="00FC5D95" w:rsidRDefault="00D50475" w:rsidP="00022C47">
      <w:pPr>
        <w:keepNext/>
        <w:keepLines/>
        <w:rPr>
          <w:color w:val="000000" w:themeColor="text1"/>
        </w:rPr>
      </w:pPr>
      <w:r w:rsidRPr="00FC5D95">
        <w:rPr>
          <w:color w:val="000000" w:themeColor="text1"/>
        </w:rPr>
        <w:t xml:space="preserve">The evidence assessed by FSANZ demonstrated a specific binding mechanism for 2’-FL and invasive strains of </w:t>
      </w:r>
      <w:r w:rsidRPr="00FC5D95">
        <w:rPr>
          <w:i/>
          <w:color w:val="000000" w:themeColor="text1"/>
        </w:rPr>
        <w:t>Campylobacter jejuni</w:t>
      </w:r>
      <w:r w:rsidRPr="00FC5D95">
        <w:rPr>
          <w:color w:val="000000" w:themeColor="text1"/>
        </w:rPr>
        <w:t xml:space="preserve">. </w:t>
      </w:r>
      <w:r w:rsidR="00FC5D95" w:rsidRPr="00FC5D95">
        <w:rPr>
          <w:color w:val="000000" w:themeColor="text1"/>
        </w:rPr>
        <w:t xml:space="preserve">Two key studies submitted by the Applicant and assessed by FSANZ underpin this conclusion. The first study by Ruiz-Palacios et al. (2003) is important because it demonstrated that the intestinal binding site for invasive strains of </w:t>
      </w:r>
      <w:r w:rsidR="00FC5D95" w:rsidRPr="00FC5D95">
        <w:rPr>
          <w:i/>
          <w:color w:val="000000" w:themeColor="text1"/>
        </w:rPr>
        <w:t>C. jejuni</w:t>
      </w:r>
      <w:r w:rsidR="00FC5D95" w:rsidRPr="00FC5D95">
        <w:rPr>
          <w:color w:val="000000" w:themeColor="text1"/>
        </w:rPr>
        <w:t xml:space="preserve"> is structurally similar to 2’-FL and that incubation of 2’-FL with invasive </w:t>
      </w:r>
      <w:r w:rsidR="00FC5D95" w:rsidRPr="00FC5D95">
        <w:rPr>
          <w:i/>
          <w:color w:val="000000" w:themeColor="text1"/>
        </w:rPr>
        <w:t>C. jejuni</w:t>
      </w:r>
      <w:r w:rsidR="00FC5D95" w:rsidRPr="00FC5D95">
        <w:rPr>
          <w:color w:val="000000" w:themeColor="text1"/>
        </w:rPr>
        <w:t xml:space="preserve"> prevents it binding to this site. This study demonstrated the specific inhibitory mechanism that underpins the anti-pathogenic effect. </w:t>
      </w:r>
    </w:p>
    <w:p w14:paraId="1D2B515C" w14:textId="77777777" w:rsidR="00FC5D95" w:rsidRPr="00FC5D95" w:rsidRDefault="00FC5D95" w:rsidP="00FC5D95">
      <w:pPr>
        <w:rPr>
          <w:color w:val="000000" w:themeColor="text1"/>
        </w:rPr>
      </w:pPr>
    </w:p>
    <w:p w14:paraId="33BD15D2" w14:textId="7CE72321" w:rsidR="00232D7C" w:rsidRDefault="00FC5D95" w:rsidP="00FC5D95">
      <w:pPr>
        <w:rPr>
          <w:color w:val="000000" w:themeColor="text1"/>
        </w:rPr>
      </w:pPr>
      <w:r w:rsidRPr="00FC5D95">
        <w:rPr>
          <w:color w:val="000000" w:themeColor="text1"/>
        </w:rPr>
        <w:t>Secondly, an animal study by Yu et al. (2016) corroborate</w:t>
      </w:r>
      <w:r w:rsidR="00112188">
        <w:rPr>
          <w:color w:val="000000" w:themeColor="text1"/>
        </w:rPr>
        <w:t>d</w:t>
      </w:r>
      <w:r w:rsidRPr="00FC5D95">
        <w:rPr>
          <w:color w:val="000000" w:themeColor="text1"/>
        </w:rPr>
        <w:t xml:space="preserve"> the results observed by Ruiz-Palacios et al. (2003). In a mouse infection model</w:t>
      </w:r>
      <w:r w:rsidR="007F0D72">
        <w:rPr>
          <w:color w:val="000000" w:themeColor="text1"/>
        </w:rPr>
        <w:t xml:space="preserve">, Yu et al. (2016) </w:t>
      </w:r>
      <w:r w:rsidRPr="00FC5D95">
        <w:rPr>
          <w:color w:val="000000" w:themeColor="text1"/>
        </w:rPr>
        <w:t>demonstrate</w:t>
      </w:r>
      <w:r w:rsidR="007F0D72">
        <w:rPr>
          <w:color w:val="000000" w:themeColor="text1"/>
        </w:rPr>
        <w:t>d</w:t>
      </w:r>
      <w:r w:rsidRPr="00FC5D95">
        <w:rPr>
          <w:color w:val="000000" w:themeColor="text1"/>
        </w:rPr>
        <w:t xml:space="preserve"> a marked decrease in disease severity and invasiveness by feeding mice with 2’-FL either 3 days before or concurrently with invasive </w:t>
      </w:r>
      <w:r w:rsidRPr="00FC5D95">
        <w:rPr>
          <w:i/>
          <w:color w:val="000000" w:themeColor="text1"/>
        </w:rPr>
        <w:t xml:space="preserve">C. jejuni </w:t>
      </w:r>
      <w:r w:rsidRPr="00FC5D95">
        <w:rPr>
          <w:color w:val="000000" w:themeColor="text1"/>
        </w:rPr>
        <w:t xml:space="preserve">challenge. This study is important because the addition of 2’-FL to the diet of mice reduced binding of </w:t>
      </w:r>
      <w:r w:rsidRPr="00FC5D95">
        <w:rPr>
          <w:i/>
          <w:color w:val="000000" w:themeColor="text1"/>
        </w:rPr>
        <w:t>C. jejuni</w:t>
      </w:r>
      <w:r w:rsidRPr="00FC5D95">
        <w:rPr>
          <w:color w:val="000000" w:themeColor="text1"/>
        </w:rPr>
        <w:t xml:space="preserve"> to the intestinal cells of infected mice and subsequently reduced invasion and spread to other bodily sites such as the spleen and mesenteric lymph nodes. </w:t>
      </w:r>
    </w:p>
    <w:p w14:paraId="44921FDD" w14:textId="77777777" w:rsidR="00232D7C" w:rsidRDefault="00232D7C" w:rsidP="00FC5D95">
      <w:pPr>
        <w:rPr>
          <w:color w:val="000000" w:themeColor="text1"/>
        </w:rPr>
      </w:pPr>
    </w:p>
    <w:p w14:paraId="21DCE6D4" w14:textId="2F19975A" w:rsidR="00FC5D95" w:rsidRDefault="00FC5D95" w:rsidP="00FC5D95">
      <w:pPr>
        <w:rPr>
          <w:color w:val="000000" w:themeColor="text1"/>
        </w:rPr>
      </w:pPr>
      <w:r w:rsidRPr="00FC5D95">
        <w:rPr>
          <w:color w:val="000000" w:themeColor="text1"/>
        </w:rPr>
        <w:t xml:space="preserve">Taken together, these two studies show the mechanism by which pathogen inhibition occurs and the biological plausibility of a </w:t>
      </w:r>
      <w:r w:rsidR="007F0D72">
        <w:rPr>
          <w:color w:val="000000" w:themeColor="text1"/>
        </w:rPr>
        <w:t>similar</w:t>
      </w:r>
      <w:r w:rsidRPr="00FC5D95">
        <w:rPr>
          <w:color w:val="000000" w:themeColor="text1"/>
        </w:rPr>
        <w:t xml:space="preserve"> </w:t>
      </w:r>
      <w:r w:rsidR="005C5EC7">
        <w:rPr>
          <w:color w:val="000000" w:themeColor="text1"/>
        </w:rPr>
        <w:t>inhibitory</w:t>
      </w:r>
      <w:r w:rsidR="005C5EC7" w:rsidRPr="00FC5D95">
        <w:rPr>
          <w:color w:val="000000" w:themeColor="text1"/>
        </w:rPr>
        <w:t xml:space="preserve"> </w:t>
      </w:r>
      <w:r w:rsidRPr="00FC5D95">
        <w:rPr>
          <w:color w:val="000000" w:themeColor="text1"/>
        </w:rPr>
        <w:t xml:space="preserve">effect being observed in infants fed formula supplemented with 2’-FL. </w:t>
      </w:r>
    </w:p>
    <w:p w14:paraId="03D01FEE" w14:textId="54FD2C23" w:rsidR="00155668" w:rsidRDefault="00155668" w:rsidP="00FC5D95">
      <w:pPr>
        <w:rPr>
          <w:color w:val="000000" w:themeColor="text1"/>
        </w:rPr>
      </w:pPr>
    </w:p>
    <w:p w14:paraId="0F9318E7" w14:textId="38702AAB" w:rsidR="00155668" w:rsidRPr="00FC5D95" w:rsidRDefault="00155668" w:rsidP="00FC5D95">
      <w:pPr>
        <w:rPr>
          <w:color w:val="000000" w:themeColor="text1"/>
        </w:rPr>
      </w:pPr>
      <w:r w:rsidRPr="00FC5D95">
        <w:rPr>
          <w:color w:val="000000" w:themeColor="text1"/>
        </w:rPr>
        <w:t xml:space="preserve">It is neither feasible or ethical to conduct human clinical trials in infants to demonstrate the protective effects of 2’-FL in reducing severity of invasive </w:t>
      </w:r>
      <w:r w:rsidRPr="00FC5D95">
        <w:rPr>
          <w:i/>
          <w:color w:val="000000" w:themeColor="text1"/>
        </w:rPr>
        <w:t>C. jejuni</w:t>
      </w:r>
      <w:r w:rsidRPr="00FC5D95">
        <w:rPr>
          <w:color w:val="000000" w:themeColor="text1"/>
        </w:rPr>
        <w:t xml:space="preserve"> infection. FSANZ therefore relied on cell culture and animal studies to reach the conclusion that </w:t>
      </w:r>
      <w:r>
        <w:rPr>
          <w:color w:val="000000" w:themeColor="text1"/>
        </w:rPr>
        <w:t>there is an</w:t>
      </w:r>
      <w:r w:rsidRPr="00FC5D95">
        <w:rPr>
          <w:color w:val="000000" w:themeColor="text1"/>
        </w:rPr>
        <w:t xml:space="preserve"> inhibitory effect against invasive </w:t>
      </w:r>
      <w:r w:rsidRPr="00FC5D95">
        <w:rPr>
          <w:i/>
          <w:color w:val="000000" w:themeColor="text1"/>
        </w:rPr>
        <w:t>C. jejuni</w:t>
      </w:r>
      <w:r w:rsidRPr="00FC5D95">
        <w:rPr>
          <w:color w:val="000000" w:themeColor="text1"/>
        </w:rPr>
        <w:t xml:space="preserve"> infection. </w:t>
      </w:r>
      <w:r w:rsidRPr="00155668">
        <w:rPr>
          <w:color w:val="000000" w:themeColor="text1"/>
        </w:rPr>
        <w:t xml:space="preserve">FSANZ considers this approach to be appropriate and reasonable and considers it to be self-evident that any reduction in severity of an invasive </w:t>
      </w:r>
      <w:r w:rsidRPr="00155668">
        <w:rPr>
          <w:i/>
          <w:color w:val="000000" w:themeColor="text1"/>
        </w:rPr>
        <w:t>C. jejuni</w:t>
      </w:r>
      <w:r w:rsidRPr="00155668">
        <w:rPr>
          <w:color w:val="000000" w:themeColor="text1"/>
        </w:rPr>
        <w:t xml:space="preserve"> infection would be beneficial to the infant</w:t>
      </w:r>
      <w:r w:rsidRPr="00155668">
        <w:t>.</w:t>
      </w:r>
    </w:p>
    <w:p w14:paraId="65EDDC5C" w14:textId="17F4AE65" w:rsidR="00603B2B" w:rsidRDefault="00603B2B" w:rsidP="00603B2B">
      <w:pPr>
        <w:pStyle w:val="Heading4"/>
      </w:pPr>
      <w:r>
        <w:t>2.2.</w:t>
      </w:r>
      <w:r w:rsidR="00797E0F">
        <w:t>3</w:t>
      </w:r>
      <w:r>
        <w:t>.3</w:t>
      </w:r>
      <w:r>
        <w:tab/>
        <w:t>Immune modulation, intestinal barrier function and allergic response</w:t>
      </w:r>
    </w:p>
    <w:p w14:paraId="31853399" w14:textId="68CA472B" w:rsidR="00603B2B" w:rsidRDefault="00603B2B" w:rsidP="00603B2B">
      <w:r>
        <w:t xml:space="preserve">The current available evidence for the stated immune modulating effect, improved intestinal barrier function, and protective effects against allergic responses for 2′-FL and LNnT is insufficient. </w:t>
      </w:r>
      <w:r w:rsidR="00116216">
        <w:t xml:space="preserve">For the immune modulation effect there was some evidence for 2′-FL which supported the proposed effects, however the clinical significance of the data was inconclusive. </w:t>
      </w:r>
      <w:r>
        <w:t xml:space="preserve">These stated health effects are therefore not supported by the evidence. </w:t>
      </w:r>
      <w:r w:rsidR="00116216">
        <w:t xml:space="preserve">For the role in </w:t>
      </w:r>
      <w:bookmarkStart w:id="87" w:name="_Toc521418087"/>
      <w:r w:rsidR="00116216">
        <w:t xml:space="preserve">protection against allergies </w:t>
      </w:r>
      <w:r w:rsidR="006A6EE2">
        <w:t xml:space="preserve">there was not </w:t>
      </w:r>
      <w:r w:rsidR="00116216">
        <w:t xml:space="preserve">strong evidence to support the protective effect of HMOs, such as 2′-FL, in preventing development of allergies in infants and children.  </w:t>
      </w:r>
      <w:bookmarkEnd w:id="87"/>
    </w:p>
    <w:p w14:paraId="77315A64" w14:textId="27F2B59E" w:rsidR="00000780" w:rsidRPr="007423EA" w:rsidRDefault="00603B2B" w:rsidP="007423EA">
      <w:pPr>
        <w:pStyle w:val="Heading4"/>
      </w:pPr>
      <w:r>
        <w:t>2.2.</w:t>
      </w:r>
      <w:r w:rsidR="00797E0F">
        <w:t>3</w:t>
      </w:r>
      <w:r>
        <w:t>.4</w:t>
      </w:r>
      <w:r>
        <w:tab/>
      </w:r>
      <w:r w:rsidR="00000780" w:rsidRPr="007423EA">
        <w:t>Applicability of the findings to infants and young children</w:t>
      </w:r>
    </w:p>
    <w:p w14:paraId="1C90EDEF" w14:textId="77777777" w:rsidR="0062321E" w:rsidRDefault="000153E9" w:rsidP="000153E9">
      <w:r w:rsidRPr="00DF1114">
        <w:t xml:space="preserve">FSANZ undertook </w:t>
      </w:r>
      <w:r>
        <w:t>assessments</w:t>
      </w:r>
      <w:r w:rsidRPr="00DF1114">
        <w:t xml:space="preserve"> to </w:t>
      </w:r>
      <w:r>
        <w:t xml:space="preserve">determine </w:t>
      </w:r>
      <w:r w:rsidR="00D95D44">
        <w:t xml:space="preserve">whether </w:t>
      </w:r>
      <w:r>
        <w:t>the</w:t>
      </w:r>
      <w:r w:rsidRPr="00DF1114">
        <w:t xml:space="preserve"> </w:t>
      </w:r>
      <w:r>
        <w:t xml:space="preserve">proposed health effects of adding 2′-FL and/or LNnT to infant formula products and FSFYC are supported by evidence. </w:t>
      </w:r>
      <w:r w:rsidR="00116216">
        <w:t xml:space="preserve">The available clinical studies were mainly conducted in infants, as well as one in young children (up to 24 months) and one adult study. </w:t>
      </w:r>
    </w:p>
    <w:p w14:paraId="34A52BB9" w14:textId="295E49D9" w:rsidR="004D4AD9" w:rsidRDefault="00116216" w:rsidP="0062321E">
      <w:pPr>
        <w:keepNext/>
        <w:keepLines/>
      </w:pPr>
      <w:r>
        <w:t>Thus a</w:t>
      </w:r>
      <w:r w:rsidR="000153E9">
        <w:t>s a part of the assessment, FSANZ</w:t>
      </w:r>
      <w:r>
        <w:t xml:space="preserve"> considered whether the evidence would apply across the infant and young child age range. No evidence </w:t>
      </w:r>
      <w:r w:rsidR="000153E9">
        <w:t>indicate</w:t>
      </w:r>
      <w:r>
        <w:t>d that</w:t>
      </w:r>
      <w:r w:rsidR="000153E9">
        <w:t xml:space="preserve"> the proposed effects would be limited to a particular age group of infants or toddlers. </w:t>
      </w:r>
      <w:r w:rsidR="004473BB" w:rsidRPr="00893334">
        <w:rPr>
          <w:lang w:val="en-AU"/>
        </w:rPr>
        <w:t xml:space="preserve">Overall, </w:t>
      </w:r>
      <w:r w:rsidR="004473BB" w:rsidRPr="00893334">
        <w:t xml:space="preserve">FSANZ concludes that the bifidogenic effect and anti-infective effect against invasive </w:t>
      </w:r>
      <w:r w:rsidR="004473BB" w:rsidRPr="00893334">
        <w:rPr>
          <w:i/>
        </w:rPr>
        <w:t>C. jejuni</w:t>
      </w:r>
      <w:r w:rsidR="004473BB" w:rsidRPr="00893334">
        <w:t xml:space="preserve"> are biologically plausible and the assessed evidence supports a mechanism for these effects</w:t>
      </w:r>
      <w:r w:rsidR="00F61E45">
        <w:t>.</w:t>
      </w:r>
      <w:r w:rsidR="00603B2B">
        <w:t xml:space="preserve"> </w:t>
      </w:r>
      <w:r w:rsidR="00000780">
        <w:t>FSANZ</w:t>
      </w:r>
      <w:r w:rsidR="00F61E45">
        <w:t xml:space="preserve"> also </w:t>
      </w:r>
      <w:r w:rsidR="00000780" w:rsidRPr="00893334">
        <w:t>consider</w:t>
      </w:r>
      <w:r w:rsidR="00000780">
        <w:t>ed e</w:t>
      </w:r>
      <w:r w:rsidR="00000780" w:rsidRPr="00893334">
        <w:t xml:space="preserve">vidence from </w:t>
      </w:r>
      <w:r w:rsidR="00000780" w:rsidRPr="00893334">
        <w:rPr>
          <w:i/>
        </w:rPr>
        <w:t>in vitro</w:t>
      </w:r>
      <w:r w:rsidR="00000780" w:rsidRPr="00893334">
        <w:t xml:space="preserve"> laboratory stud</w:t>
      </w:r>
      <w:r w:rsidR="00F61E45">
        <w:t>ies</w:t>
      </w:r>
      <w:r w:rsidR="00000780" w:rsidRPr="00893334">
        <w:t xml:space="preserve"> for anti-infective effect and an adult study for bifidogenic effect, </w:t>
      </w:r>
      <w:r w:rsidR="00F61E45">
        <w:t xml:space="preserve">which </w:t>
      </w:r>
      <w:r w:rsidR="00000780" w:rsidRPr="00893334">
        <w:t>indicates that these health effects</w:t>
      </w:r>
      <w:r w:rsidR="00000780" w:rsidRPr="00893334" w:rsidDel="00D81C78">
        <w:t xml:space="preserve"> </w:t>
      </w:r>
      <w:r w:rsidR="00000780" w:rsidRPr="00893334">
        <w:t>may be enhanced as concentrations of 2′-FL (or LNnT in the case of the bifidogenic effect only) are increased</w:t>
      </w:r>
      <w:r w:rsidR="00000780" w:rsidRPr="00893334">
        <w:rPr>
          <w:lang w:val="en-AU"/>
        </w:rPr>
        <w:t xml:space="preserve">. </w:t>
      </w:r>
      <w:r w:rsidR="004D4AD9">
        <w:t>The conclusions reached for each proposed health effect in infants are therefore applicable to all the infant formula products and FSFYC to which this application applies.</w:t>
      </w:r>
    </w:p>
    <w:p w14:paraId="57E96BAE" w14:textId="49C819AF" w:rsidR="00E559A1" w:rsidRDefault="00603B2B" w:rsidP="008D72EC">
      <w:pPr>
        <w:pStyle w:val="Heading3"/>
      </w:pPr>
      <w:bookmarkStart w:id="88" w:name="_Toc22303669"/>
      <w:bookmarkStart w:id="89" w:name="_Toc22650332"/>
      <w:r>
        <w:t>2.2.</w:t>
      </w:r>
      <w:r w:rsidR="00797E0F">
        <w:t>4</w:t>
      </w:r>
      <w:r w:rsidR="00C626E5">
        <w:tab/>
      </w:r>
      <w:r w:rsidR="0080109D">
        <w:t>Risk assessment s</w:t>
      </w:r>
      <w:r>
        <w:t>ummary</w:t>
      </w:r>
      <w:bookmarkEnd w:id="88"/>
      <w:bookmarkEnd w:id="89"/>
      <w:r>
        <w:t xml:space="preserve"> </w:t>
      </w:r>
    </w:p>
    <w:p w14:paraId="301214F3" w14:textId="16733DCA" w:rsidR="0080109D" w:rsidRDefault="0080109D" w:rsidP="0080109D">
      <w:pPr>
        <w:rPr>
          <w:lang w:val="en-AU" w:bidi="ar-SA"/>
        </w:rPr>
      </w:pPr>
      <w:r>
        <w:rPr>
          <w:szCs w:val="22"/>
        </w:rPr>
        <w:t>T</w:t>
      </w:r>
      <w:r>
        <w:rPr>
          <w:lang w:val="en-AU"/>
        </w:rPr>
        <w:t>here are no public health and safety concerns associated with adding the applicant’s 2′-FL and LNnT to</w:t>
      </w:r>
      <w:r w:rsidRPr="006457EA">
        <w:rPr>
          <w:lang w:val="en-AU"/>
        </w:rPr>
        <w:t xml:space="preserve"> infant formula</w:t>
      </w:r>
      <w:r>
        <w:rPr>
          <w:lang w:val="en-AU"/>
        </w:rPr>
        <w:t xml:space="preserve"> products </w:t>
      </w:r>
      <w:r w:rsidRPr="006457EA">
        <w:rPr>
          <w:lang w:val="en-AU"/>
        </w:rPr>
        <w:t xml:space="preserve">and </w:t>
      </w:r>
      <w:r>
        <w:rPr>
          <w:lang w:val="en-AU"/>
        </w:rPr>
        <w:t xml:space="preserve">FSFYC at the levels permitted </w:t>
      </w:r>
      <w:r w:rsidR="00DD3A9B">
        <w:rPr>
          <w:lang w:val="en-AU"/>
        </w:rPr>
        <w:t xml:space="preserve">which are </w:t>
      </w:r>
      <w:r>
        <w:rPr>
          <w:lang w:val="en-AU"/>
        </w:rPr>
        <w:t xml:space="preserve">consistent with </w:t>
      </w:r>
      <w:r w:rsidRPr="006E0835">
        <w:rPr>
          <w:lang w:val="en-AU"/>
        </w:rPr>
        <w:t>average</w:t>
      </w:r>
      <w:r>
        <w:rPr>
          <w:lang w:val="en-AU"/>
        </w:rPr>
        <w:t xml:space="preserve"> levels in mature human milk.</w:t>
      </w:r>
      <w:r w:rsidRPr="0080109D">
        <w:t xml:space="preserve"> </w:t>
      </w:r>
      <w:r>
        <w:t>The evidence supports the proposed compositional permission.</w:t>
      </w:r>
      <w:r w:rsidR="00322BE8">
        <w:t xml:space="preserve"> </w:t>
      </w:r>
      <w:r>
        <w:rPr>
          <w:lang w:val="en-AU"/>
        </w:rPr>
        <w:t xml:space="preserve">FSANZ concluded that the requested addition of 2′-FL alone or with LNnT </w:t>
      </w:r>
      <w:r w:rsidR="00A87490">
        <w:rPr>
          <w:lang w:val="en-AU"/>
        </w:rPr>
        <w:t xml:space="preserve">demonstrates a </w:t>
      </w:r>
      <w:r w:rsidR="004A15C0">
        <w:rPr>
          <w:lang w:val="en-AU"/>
        </w:rPr>
        <w:t xml:space="preserve">favourable </w:t>
      </w:r>
      <w:r w:rsidR="00A87490">
        <w:rPr>
          <w:lang w:val="en-AU"/>
        </w:rPr>
        <w:t xml:space="preserve">health effect and </w:t>
      </w:r>
      <w:r>
        <w:rPr>
          <w:lang w:val="en-AU"/>
        </w:rPr>
        <w:t xml:space="preserve">has the potential to confer beneficial health outcomes in infants and young children. The available evidence </w:t>
      </w:r>
      <w:r w:rsidR="00C072F3">
        <w:rPr>
          <w:lang w:val="en-AU"/>
        </w:rPr>
        <w:t xml:space="preserve">demonstrates a mechanism for </w:t>
      </w:r>
      <w:r>
        <w:rPr>
          <w:lang w:val="en-AU"/>
        </w:rPr>
        <w:t xml:space="preserve">an </w:t>
      </w:r>
      <w:r w:rsidR="00C072F3">
        <w:rPr>
          <w:lang w:val="en-AU"/>
        </w:rPr>
        <w:t xml:space="preserve">pathogen binding with an </w:t>
      </w:r>
      <w:r>
        <w:rPr>
          <w:lang w:val="en-AU"/>
        </w:rPr>
        <w:t xml:space="preserve">anti-infective </w:t>
      </w:r>
      <w:r>
        <w:t xml:space="preserve">effect against </w:t>
      </w:r>
      <w:r w:rsidRPr="00B347F6">
        <w:t xml:space="preserve">invasive </w:t>
      </w:r>
      <w:r w:rsidRPr="00B347F6">
        <w:rPr>
          <w:i/>
        </w:rPr>
        <w:t>C</w:t>
      </w:r>
      <w:r>
        <w:rPr>
          <w:i/>
        </w:rPr>
        <w:t>ampylobacter</w:t>
      </w:r>
      <w:r w:rsidRPr="00B347F6">
        <w:rPr>
          <w:i/>
        </w:rPr>
        <w:t xml:space="preserve"> jejuni</w:t>
      </w:r>
      <w:r w:rsidRPr="00B347F6">
        <w:t xml:space="preserve"> infection</w:t>
      </w:r>
      <w:r>
        <w:t xml:space="preserve"> </w:t>
      </w:r>
      <w:r>
        <w:rPr>
          <w:lang w:val="en-AU"/>
        </w:rPr>
        <w:t>and a bifidogenic effect (an increase in the relative abundance of bifidobacteria in the intestinal microflora</w:t>
      </w:r>
      <w:r>
        <w:rPr>
          <w:rStyle w:val="ilfuvd"/>
          <w:color w:val="222222"/>
          <w:lang w:val="en-AU"/>
        </w:rPr>
        <w:t xml:space="preserve">). </w:t>
      </w:r>
      <w:r>
        <w:t xml:space="preserve">Other less direct evidence indicates these </w:t>
      </w:r>
      <w:r w:rsidR="004A15C0">
        <w:t xml:space="preserve">favourable </w:t>
      </w:r>
      <w:r>
        <w:t>health effects</w:t>
      </w:r>
      <w:r w:rsidDel="00D81C78">
        <w:t xml:space="preserve"> </w:t>
      </w:r>
      <w:r>
        <w:t xml:space="preserve">may be enhanced as concentrations of 2′-FL </w:t>
      </w:r>
      <w:r w:rsidDel="00443262">
        <w:t>are increased</w:t>
      </w:r>
      <w:r>
        <w:t xml:space="preserve">. </w:t>
      </w:r>
    </w:p>
    <w:p w14:paraId="37F6979C" w14:textId="77777777" w:rsidR="00B25656" w:rsidRDefault="00B25656" w:rsidP="00E559A1"/>
    <w:p w14:paraId="1ABAA0B0" w14:textId="18C18FEE" w:rsidR="00DF1F01" w:rsidRDefault="004D4AD9" w:rsidP="00E559A1">
      <w:r>
        <w:t>Evidence to support the health effects of improved barrier function, immune modulation and alleviation of allergic responses are inconclusive.</w:t>
      </w:r>
    </w:p>
    <w:p w14:paraId="5A22E112" w14:textId="1BED0554" w:rsidR="002C1A3B" w:rsidRDefault="002C1A3B" w:rsidP="002C1A3B">
      <w:pPr>
        <w:pStyle w:val="Heading2"/>
      </w:pPr>
      <w:bookmarkStart w:id="90" w:name="_Toc370223473"/>
      <w:bookmarkStart w:id="91" w:name="_Toc370225388"/>
      <w:bookmarkStart w:id="92" w:name="_Toc22303670"/>
      <w:bookmarkStart w:id="93" w:name="_Toc22650333"/>
      <w:bookmarkStart w:id="94" w:name="_Toc175381450"/>
      <w:bookmarkEnd w:id="79"/>
      <w:bookmarkEnd w:id="80"/>
      <w:r>
        <w:t>2.3</w:t>
      </w:r>
      <w:r>
        <w:tab/>
        <w:t>Risk management</w:t>
      </w:r>
      <w:bookmarkEnd w:id="90"/>
      <w:bookmarkEnd w:id="91"/>
      <w:bookmarkEnd w:id="92"/>
      <w:bookmarkEnd w:id="93"/>
    </w:p>
    <w:p w14:paraId="0A0A62F3" w14:textId="45D9D349" w:rsidR="004A15C0" w:rsidRDefault="00BC07DA" w:rsidP="004A15C0">
      <w:r>
        <w:t>B</w:t>
      </w:r>
      <w:r w:rsidR="00B14809">
        <w:t xml:space="preserve">reastfeeding is the recommended way to feed infants. As infants are a vulnerable population group, a safe and nutritious substitute is necessary when breastfeeding is not possible. Any changes to the composition </w:t>
      </w:r>
      <w:r w:rsidR="00127B0F">
        <w:t xml:space="preserve">of infant formula products </w:t>
      </w:r>
      <w:r w:rsidR="00B14809">
        <w:t xml:space="preserve">must be established as safe </w:t>
      </w:r>
      <w:r w:rsidR="00F82F3C">
        <w:t xml:space="preserve">and suitable </w:t>
      </w:r>
      <w:r w:rsidR="00B14809">
        <w:t>prior to being permitted.</w:t>
      </w:r>
      <w:r w:rsidR="00F82F3C">
        <w:t xml:space="preserve"> </w:t>
      </w:r>
    </w:p>
    <w:p w14:paraId="35214B37" w14:textId="2E874089" w:rsidR="00155668" w:rsidRDefault="00280A76" w:rsidP="004A15C0">
      <w:pPr>
        <w:pStyle w:val="Heading3"/>
      </w:pPr>
      <w:bookmarkStart w:id="95" w:name="_Toc22303671"/>
      <w:bookmarkStart w:id="96" w:name="_Toc22650334"/>
      <w:r>
        <w:t>2.3.</w:t>
      </w:r>
      <w:r w:rsidR="003B0A65">
        <w:t>1</w:t>
      </w:r>
      <w:r w:rsidR="008A0E95">
        <w:tab/>
      </w:r>
      <w:r w:rsidR="004A644C">
        <w:t>FSANZ</w:t>
      </w:r>
      <w:r w:rsidR="004A15C0">
        <w:t>’s</w:t>
      </w:r>
      <w:r w:rsidR="004A644C">
        <w:t xml:space="preserve"> approach and c</w:t>
      </w:r>
      <w:r w:rsidR="00155668">
        <w:t xml:space="preserve">onsideration of the policy guidelines </w:t>
      </w:r>
    </w:p>
    <w:p w14:paraId="594F5F83" w14:textId="38BF325C" w:rsidR="00155668" w:rsidRDefault="004A644C" w:rsidP="004A644C">
      <w:pPr>
        <w:rPr>
          <w:rFonts w:cs="Arial"/>
          <w:szCs w:val="20"/>
        </w:rPr>
      </w:pPr>
      <w:r>
        <w:t xml:space="preserve">FSANZ’s decision requires consideration of </w:t>
      </w:r>
      <w:r>
        <w:rPr>
          <w:rFonts w:cs="Arial"/>
          <w:szCs w:val="22"/>
        </w:rPr>
        <w:t xml:space="preserve">the higher and lower objectives of the FSANZ </w:t>
      </w:r>
      <w:r w:rsidRPr="00C73743">
        <w:rPr>
          <w:rFonts w:cs="Arial"/>
          <w:szCs w:val="22"/>
        </w:rPr>
        <w:t>Act (</w:t>
      </w:r>
      <w:r>
        <w:rPr>
          <w:rFonts w:cs="Arial"/>
          <w:szCs w:val="22"/>
        </w:rPr>
        <w:t xml:space="preserve">section 18(10 and 18(2)) as discussed in </w:t>
      </w:r>
      <w:r w:rsidRPr="00C73743">
        <w:rPr>
          <w:rFonts w:cs="Arial"/>
          <w:szCs w:val="22"/>
        </w:rPr>
        <w:t>section 2.</w:t>
      </w:r>
      <w:r>
        <w:rPr>
          <w:rFonts w:cs="Arial"/>
          <w:szCs w:val="22"/>
        </w:rPr>
        <w:t xml:space="preserve">5, which includes the </w:t>
      </w:r>
      <w:r w:rsidRPr="00C73743">
        <w:t>relevant</w:t>
      </w:r>
      <w:r>
        <w:t xml:space="preserve"> </w:t>
      </w:r>
      <w:r w:rsidR="004A15C0" w:rsidRPr="00113DD6">
        <w:t xml:space="preserve">ministerial </w:t>
      </w:r>
      <w:r w:rsidRPr="00113DD6">
        <w:t>policy guidelines (SD2)</w:t>
      </w:r>
      <w:r w:rsidRPr="00176EA9">
        <w:t>,</w:t>
      </w:r>
      <w:r>
        <w:t xml:space="preserve"> and issues raised and considered at the 2</w:t>
      </w:r>
      <w:r w:rsidRPr="002F4E5F">
        <w:rPr>
          <w:vertAlign w:val="superscript"/>
        </w:rPr>
        <w:t>nd</w:t>
      </w:r>
      <w:r>
        <w:t xml:space="preserve"> Call for Submissions. </w:t>
      </w:r>
      <w:r w:rsidR="00155668">
        <w:rPr>
          <w:rFonts w:cs="Arial"/>
          <w:szCs w:val="20"/>
        </w:rPr>
        <w:t xml:space="preserve">As outlined in </w:t>
      </w:r>
      <w:hyperlink r:id="rId33" w:history="1">
        <w:r w:rsidR="00155668" w:rsidRPr="00004158">
          <w:rPr>
            <w:rStyle w:val="Hyperlink"/>
            <w:rFonts w:cs="Arial"/>
            <w:szCs w:val="20"/>
          </w:rPr>
          <w:t xml:space="preserve">Supporting Document 2 </w:t>
        </w:r>
      </w:hyperlink>
      <w:r w:rsidR="00155668">
        <w:rPr>
          <w:rFonts w:cs="Arial"/>
          <w:szCs w:val="20"/>
        </w:rPr>
        <w:t xml:space="preserve">FSANZ has given regard to both relevant policy guidelines as part of the assessment process. </w:t>
      </w:r>
    </w:p>
    <w:p w14:paraId="550FF8F5" w14:textId="77777777" w:rsidR="00155668" w:rsidRDefault="00155668" w:rsidP="00155668">
      <w:pPr>
        <w:pStyle w:val="Heading5"/>
        <w:rPr>
          <w:rFonts w:cs="Arial"/>
          <w:szCs w:val="20"/>
        </w:rPr>
      </w:pPr>
      <w:r>
        <w:rPr>
          <w:lang w:val="en-AU"/>
        </w:rPr>
        <w:t>Policy Guideline</w:t>
      </w:r>
      <w:r w:rsidRPr="00932F72">
        <w:rPr>
          <w:lang w:val="en-AU"/>
        </w:rPr>
        <w:t xml:space="preserve"> on the </w:t>
      </w:r>
      <w:r w:rsidRPr="00F73381">
        <w:rPr>
          <w:lang w:val="en-AU"/>
        </w:rPr>
        <w:t>Regula</w:t>
      </w:r>
      <w:r>
        <w:rPr>
          <w:lang w:val="en-AU"/>
        </w:rPr>
        <w:t>tion of Infant Formula Products</w:t>
      </w:r>
    </w:p>
    <w:p w14:paraId="538E1FE6" w14:textId="75B54813" w:rsidR="0083325B" w:rsidRDefault="0083325B" w:rsidP="0083325B">
      <w:pPr>
        <w:rPr>
          <w:lang w:bidi="ar-SA"/>
        </w:rPr>
      </w:pPr>
      <w:r>
        <w:rPr>
          <w:lang w:bidi="ar-SA"/>
        </w:rPr>
        <w:t>FSANZ’s first order priority was to ensure there are no public health and safety risks in accordance with subsection 18(1) of the FSANZ Act. FSANZ has also had regard to the relevant policy guideline in accordance with subsection 18(2) of the Act, as well as best available evidence, international consistency and industry trade and competition.</w:t>
      </w:r>
    </w:p>
    <w:p w14:paraId="469AF7BD" w14:textId="77777777" w:rsidR="0083325B" w:rsidRDefault="0083325B" w:rsidP="0083325B">
      <w:pPr>
        <w:rPr>
          <w:lang w:bidi="ar-SA"/>
        </w:rPr>
      </w:pPr>
    </w:p>
    <w:p w14:paraId="3528B1BE" w14:textId="7399B593" w:rsidR="0083325B" w:rsidRDefault="0083325B" w:rsidP="0083325B">
      <w:r>
        <w:rPr>
          <w:lang w:bidi="ar-SA"/>
        </w:rPr>
        <w:t xml:space="preserve">In keeping with the </w:t>
      </w:r>
      <w:hyperlink r:id="rId34" w:history="1">
        <w:r w:rsidR="004A15C0" w:rsidRPr="00113DD6">
          <w:rPr>
            <w:rStyle w:val="Hyperlink"/>
            <w:lang w:bidi="ar-SA"/>
          </w:rPr>
          <w:t>ministerial policy guideline (SD2)</w:t>
        </w:r>
      </w:hyperlink>
      <w:r>
        <w:rPr>
          <w:lang w:bidi="ar-SA"/>
        </w:rPr>
        <w:t xml:space="preserve">, </w:t>
      </w:r>
      <w:r>
        <w:t>FSANZ considers that t</w:t>
      </w:r>
      <w:r w:rsidRPr="00FD4EC3">
        <w:t xml:space="preserve">he proposed voluntary addition of 2′-FL and LNnT is </w:t>
      </w:r>
      <w:r>
        <w:t>consistent</w:t>
      </w:r>
      <w:r w:rsidRPr="00FD4EC3">
        <w:t xml:space="preserve"> with current national nutrition polices and guidelines for infant feeding. As 2′-FL and LNnT are naturally occurring in human milk, and the levels proposed are within the range found in human milk, there is a history of safe intake </w:t>
      </w:r>
      <w:r>
        <w:t>by</w:t>
      </w:r>
      <w:r w:rsidRPr="00FD4EC3">
        <w:t xml:space="preserve"> breastfed infants. </w:t>
      </w:r>
    </w:p>
    <w:p w14:paraId="4D579D56" w14:textId="77777777" w:rsidR="0083325B" w:rsidRDefault="0083325B" w:rsidP="0083325B"/>
    <w:p w14:paraId="4D3F6F4C" w14:textId="093C6880" w:rsidR="0083325B" w:rsidRDefault="0083325B" w:rsidP="0083325B">
      <w:r w:rsidRPr="00FD4EC3">
        <w:t>The safety, technical and health effects assessment, includ</w:t>
      </w:r>
      <w:r w:rsidR="004A15C0">
        <w:t>ing</w:t>
      </w:r>
      <w:r w:rsidRPr="00FD4EC3">
        <w:t xml:space="preserve"> an assessment on infant growth, concluded that there are no public health and safety concerns associated with the addition of 2′-FL alone or with LNnT at the levels requested, or at higher levels up to 2.4 g/L to infant formula products (includes infant formula, follow-on formula and infant formula for special dietary use). </w:t>
      </w:r>
    </w:p>
    <w:p w14:paraId="73883EDA" w14:textId="77777777" w:rsidR="004A15C0" w:rsidRPr="00FD4EC3" w:rsidRDefault="004A15C0" w:rsidP="0083325B"/>
    <w:p w14:paraId="13A1148B" w14:textId="071D07FB" w:rsidR="00155668" w:rsidRDefault="00155668" w:rsidP="004A644C">
      <w:pPr>
        <w:keepNext/>
        <w:keepLines/>
      </w:pPr>
      <w:r w:rsidRPr="003E78B4">
        <w:t>FSANZ considers the</w:t>
      </w:r>
      <w:r>
        <w:t xml:space="preserve"> assessment of r</w:t>
      </w:r>
      <w:r w:rsidRPr="00430183">
        <w:t xml:space="preserve">elevant physiological, biochemical or functional effect(s) in infants fed an infant formula product can be considered within the context of </w:t>
      </w:r>
      <w:r>
        <w:t xml:space="preserve">safety and favourable </w:t>
      </w:r>
      <w:r w:rsidRPr="00430183">
        <w:t>health effect</w:t>
      </w:r>
      <w:r>
        <w:t>s. Given</w:t>
      </w:r>
      <w:r w:rsidRPr="00BE20B3">
        <w:t xml:space="preserve"> it is not always possible to attribute a particular outcome or health effect to specific factors in human milk or an ingredient in infant formula, comparison of outcomes in healthy breastfed infants is considered an internationally accepted approach</w:t>
      </w:r>
      <w:r>
        <w:t xml:space="preserve"> (IOM, 2004; Ryan &amp; Hay 2016)</w:t>
      </w:r>
      <w:r w:rsidRPr="00BE20B3">
        <w:t>. In addition, e</w:t>
      </w:r>
      <w:r w:rsidRPr="00BE20B3" w:rsidDel="003E3709">
        <w:t>vidence fr</w:t>
      </w:r>
      <w:r w:rsidRPr="00BE20B3">
        <w:t>o</w:t>
      </w:r>
      <w:r w:rsidRPr="00BE20B3" w:rsidDel="003E3709">
        <w:t>m non-human studies add</w:t>
      </w:r>
      <w:r>
        <w:t>s</w:t>
      </w:r>
      <w:r w:rsidRPr="00BE20B3" w:rsidDel="003E3709">
        <w:t xml:space="preserve"> weight to the determination of a substance’s role, particularly in understanding the </w:t>
      </w:r>
      <w:r w:rsidRPr="00BE20B3">
        <w:t>mode of action</w:t>
      </w:r>
      <w:r w:rsidR="0083325B">
        <w:t xml:space="preserve"> and biological plausibility</w:t>
      </w:r>
      <w:r w:rsidRPr="00BE20B3" w:rsidDel="003E3709">
        <w:t xml:space="preserve">. </w:t>
      </w:r>
      <w:r w:rsidRPr="00BE20B3">
        <w:t xml:space="preserve">In assessing a link between the relevant physiological, biochemical or functional effects and specific health outcomes </w:t>
      </w:r>
      <w:r>
        <w:t xml:space="preserve">it is appropriate to </w:t>
      </w:r>
      <w:r w:rsidRPr="00BE20B3">
        <w:t xml:space="preserve">consider an evidence base including animal studies, </w:t>
      </w:r>
      <w:r w:rsidRPr="008D72EC">
        <w:rPr>
          <w:i/>
        </w:rPr>
        <w:t>in vitro</w:t>
      </w:r>
      <w:r w:rsidRPr="00BE20B3">
        <w:t xml:space="preserve"> evidence </w:t>
      </w:r>
      <w:r>
        <w:t xml:space="preserve">and </w:t>
      </w:r>
      <w:r w:rsidRPr="00BE20B3">
        <w:t xml:space="preserve">relevant observational or epidemiological studies. </w:t>
      </w:r>
    </w:p>
    <w:p w14:paraId="259DDFC1" w14:textId="0347D685" w:rsidR="00155668" w:rsidRDefault="00155668" w:rsidP="00155668"/>
    <w:p w14:paraId="63D108BF" w14:textId="0C37DDEB" w:rsidR="00CD230B" w:rsidRPr="0027557C" w:rsidRDefault="00842AE4" w:rsidP="00CD230B">
      <w:r w:rsidRPr="00CD230B">
        <w:t xml:space="preserve">As discussed in SD2, the </w:t>
      </w:r>
      <w:r w:rsidR="00067894">
        <w:t>first policy</w:t>
      </w:r>
      <w:r w:rsidRPr="00CD230B">
        <w:t xml:space="preserve"> guideline </w:t>
      </w:r>
      <w:r w:rsidR="00067894">
        <w:t>sets out</w:t>
      </w:r>
      <w:r w:rsidRPr="00CD230B">
        <w:t xml:space="preserve"> that “composition of infant formula must be safe, suitable for the intended use and strive to achieve normal growth and development compared to a healthy full term exclusively breastfed infant – as measured by appropriate physiological, biochemical and/or functional effects”. FSANZ’s assessment of the bifidogenic effect has </w:t>
      </w:r>
      <w:r w:rsidRPr="005C24CA">
        <w:t>considered the differences between formula</w:t>
      </w:r>
      <w:r w:rsidR="00067894">
        <w:t>-</w:t>
      </w:r>
      <w:r w:rsidRPr="005C24CA">
        <w:t xml:space="preserve">fed and breastfed infants in relation to gut </w:t>
      </w:r>
      <w:r w:rsidRPr="0074143D">
        <w:t>and stool microflora</w:t>
      </w:r>
      <w:r w:rsidRPr="00367F33">
        <w:t>.</w:t>
      </w:r>
      <w:r w:rsidRPr="004044F9">
        <w:t xml:space="preserve"> </w:t>
      </w:r>
      <w:r w:rsidRPr="009E06BD">
        <w:t xml:space="preserve">As bifidobacteria are generally recognised as benefical to infants because they produce short chain fatty acids from HMOs and these short chain fatty acids have a role in the development and maintenance of healthy intestinal cells. </w:t>
      </w:r>
      <w:r w:rsidRPr="00772988">
        <w:t>The assessment thus looked for modes of action and biological plausibility for the proposed effects. Biological plausibility is a key component of establishing a cause-and-effect relationship.</w:t>
      </w:r>
      <w:r w:rsidR="00067894">
        <w:t xml:space="preserve"> </w:t>
      </w:r>
      <w:r w:rsidRPr="00772988">
        <w:t>In vitro studies of bacterial growth/utilisation on 2’-FL and LNnT were used in combination with infant studies to r</w:t>
      </w:r>
      <w:r w:rsidRPr="002E3D4A">
        <w:t>each a conclu</w:t>
      </w:r>
      <w:r w:rsidRPr="00127728">
        <w:t xml:space="preserve">sion that </w:t>
      </w:r>
      <w:r w:rsidRPr="00B94E1C">
        <w:t>the gut and stool microflora of formula</w:t>
      </w:r>
      <w:r w:rsidR="00067894">
        <w:t>-</w:t>
      </w:r>
      <w:r w:rsidRPr="00B94E1C">
        <w:t xml:space="preserve">fed infants can be shifted </w:t>
      </w:r>
      <w:r w:rsidRPr="00C13C86">
        <w:t xml:space="preserve">closer to those of breastfed infants when formula contains 2’FL and LNnT. </w:t>
      </w:r>
      <w:r w:rsidR="00CD230B" w:rsidRPr="00C13C86">
        <w:t xml:space="preserve">Due to the complexities and difficulty of measuring outcomes of dietary </w:t>
      </w:r>
      <w:r w:rsidR="00CD230B" w:rsidRPr="0027557C">
        <w:t>interventions to modulate the intestinal microbiota, FSANZ considers that the approach taken, the evidence assessed and the conclusions reached are appropriate and reasonable.</w:t>
      </w:r>
    </w:p>
    <w:p w14:paraId="347001A9" w14:textId="67CE53F9" w:rsidR="00842AE4" w:rsidRDefault="00842AE4" w:rsidP="00842AE4">
      <w:pPr>
        <w:rPr>
          <w:lang w:bidi="ar-SA"/>
        </w:rPr>
      </w:pPr>
    </w:p>
    <w:p w14:paraId="29184FB9" w14:textId="1676427F" w:rsidR="00CD230B" w:rsidRDefault="00CD230B" w:rsidP="00CD230B">
      <w:pPr>
        <w:rPr>
          <w:lang w:bidi="ar-SA"/>
        </w:rPr>
      </w:pPr>
      <w:r w:rsidRPr="00CD230B">
        <w:t xml:space="preserve">FSANZ has concluded that the evidence demonstrates a specific binding mechanism for 2’-FL and invasive strains of C. jejuni in cell culture studies. These results were corroborated in animal challenge studies where disease severity from invasive C. jejuni infection was markedly reduced in animals fed 2’-FL. Animal studies are more appropriate for assessing this effect as pathogen challenge studies in infants are not possible. </w:t>
      </w:r>
      <w:r>
        <w:rPr>
          <w:lang w:bidi="ar-SA"/>
        </w:rPr>
        <w:t>As noted in SD1 breastfeeding exclusively from 3</w:t>
      </w:r>
      <w:r w:rsidR="00067894">
        <w:rPr>
          <w:lang w:bidi="ar-SA"/>
        </w:rPr>
        <w:t>–</w:t>
      </w:r>
      <w:r>
        <w:rPr>
          <w:lang w:bidi="ar-SA"/>
        </w:rPr>
        <w:t xml:space="preserve">6 months is associated with a significant reduction in gastrointestinal tract infections. Camplyobacter infections are one of the most </w:t>
      </w:r>
      <w:r w:rsidR="00067894">
        <w:rPr>
          <w:lang w:bidi="ar-SA"/>
        </w:rPr>
        <w:t xml:space="preserve">common </w:t>
      </w:r>
      <w:r>
        <w:rPr>
          <w:lang w:bidi="ar-SA"/>
        </w:rPr>
        <w:t xml:space="preserve">causes of gastrointestinal disease, particulaly in children under 5 years of age. FSANZ considers it to be self-evident that any reduction in severity of an invasive infection with C. jejuni is beneficial to infants and young children. A reduction in GI infections in formula-fed </w:t>
      </w:r>
      <w:r w:rsidR="00067894">
        <w:rPr>
          <w:lang w:bidi="ar-SA"/>
        </w:rPr>
        <w:t xml:space="preserve">infants </w:t>
      </w:r>
      <w:r>
        <w:rPr>
          <w:lang w:bidi="ar-SA"/>
        </w:rPr>
        <w:t>to</w:t>
      </w:r>
      <w:r w:rsidRPr="00CD230B">
        <w:rPr>
          <w:lang w:bidi="ar-SA"/>
        </w:rPr>
        <w:t xml:space="preserve"> </w:t>
      </w:r>
      <w:r>
        <w:rPr>
          <w:lang w:bidi="ar-SA"/>
        </w:rPr>
        <w:t xml:space="preserve">rates similar </w:t>
      </w:r>
      <w:r w:rsidR="00067894">
        <w:rPr>
          <w:lang w:bidi="ar-SA"/>
        </w:rPr>
        <w:t>in</w:t>
      </w:r>
      <w:r>
        <w:rPr>
          <w:lang w:bidi="ar-SA"/>
        </w:rPr>
        <w:t xml:space="preserve"> breastfed infants would align with</w:t>
      </w:r>
      <w:r w:rsidR="00067894">
        <w:rPr>
          <w:lang w:bidi="ar-SA"/>
        </w:rPr>
        <w:t xml:space="preserve"> the</w:t>
      </w:r>
      <w:r>
        <w:rPr>
          <w:lang w:bidi="ar-SA"/>
        </w:rPr>
        <w:t xml:space="preserve"> intention of the ministerial policy guidelines (specific policy principles d &amp; e). </w:t>
      </w:r>
    </w:p>
    <w:p w14:paraId="5BF7CDA4" w14:textId="77777777" w:rsidR="00CD230B" w:rsidRDefault="00CD230B" w:rsidP="00CD230B">
      <w:pPr>
        <w:rPr>
          <w:lang w:bidi="ar-SA"/>
        </w:rPr>
      </w:pPr>
    </w:p>
    <w:p w14:paraId="349DBEFD" w14:textId="545AA54C" w:rsidR="00155668" w:rsidRDefault="00155668" w:rsidP="00155668">
      <w:pPr>
        <w:keepNext/>
        <w:keepLines/>
      </w:pPr>
      <w:r w:rsidRPr="00BE20B3">
        <w:t xml:space="preserve">Evidence reviewed by FSANZ has demonstrated </w:t>
      </w:r>
      <w:r w:rsidRPr="00430183">
        <w:t>physiological</w:t>
      </w:r>
      <w:r>
        <w:t xml:space="preserve"> and</w:t>
      </w:r>
      <w:r w:rsidRPr="00BE20B3">
        <w:t xml:space="preserve"> functional effect</w:t>
      </w:r>
      <w:r>
        <w:t>s</w:t>
      </w:r>
      <w:r w:rsidRPr="00BE20B3">
        <w:t xml:space="preserve"> that ca</w:t>
      </w:r>
      <w:r>
        <w:t>n be</w:t>
      </w:r>
      <w:r w:rsidRPr="00BE20B3">
        <w:t xml:space="preserve"> </w:t>
      </w:r>
      <w:r>
        <w:t>favourable</w:t>
      </w:r>
      <w:r w:rsidRPr="00BE20B3">
        <w:t xml:space="preserve"> to infants and young children, consistent with the oligosaccharide fraction of human milk. FSANZ considers the evidence assessed is appropriate for the purpose of the proposed voluntary compositional permission, noting the proposed addition is saf</w:t>
      </w:r>
      <w:r>
        <w:t>e and comparable to human milk.</w:t>
      </w:r>
    </w:p>
    <w:p w14:paraId="22B4BB84" w14:textId="77777777" w:rsidR="00155668" w:rsidRDefault="00155668" w:rsidP="00155668">
      <w:pPr>
        <w:keepNext/>
        <w:keepLines/>
      </w:pPr>
    </w:p>
    <w:p w14:paraId="23DC8C47" w14:textId="09FBD8F3" w:rsidR="00CD230B" w:rsidRDefault="00155668" w:rsidP="005C24CA">
      <w:pPr>
        <w:keepNext/>
        <w:keepLines/>
        <w:rPr>
          <w:lang w:bidi="ar-SA"/>
        </w:rPr>
      </w:pPr>
      <w:r w:rsidRPr="0027674E">
        <w:rPr>
          <w:rFonts w:cs="Arial"/>
          <w:szCs w:val="22"/>
        </w:rPr>
        <w:t xml:space="preserve">FSANZ </w:t>
      </w:r>
      <w:r w:rsidRPr="0027674E">
        <w:rPr>
          <w:rFonts w:cs="Arial"/>
          <w:i/>
          <w:szCs w:val="22"/>
        </w:rPr>
        <w:t>had regard</w:t>
      </w:r>
      <w:r w:rsidRPr="0027674E">
        <w:rPr>
          <w:rFonts w:cs="Arial"/>
          <w:szCs w:val="22"/>
        </w:rPr>
        <w:t xml:space="preserve"> to the </w:t>
      </w:r>
      <w:r>
        <w:rPr>
          <w:rFonts w:cs="Arial"/>
          <w:szCs w:val="22"/>
        </w:rPr>
        <w:t xml:space="preserve">Infant Formula </w:t>
      </w:r>
      <w:r w:rsidRPr="0027674E">
        <w:rPr>
          <w:rFonts w:cs="Arial"/>
          <w:szCs w:val="22"/>
        </w:rPr>
        <w:t xml:space="preserve">Food policy guideline in accordance with subsection 18(2) of the Act, as well as </w:t>
      </w:r>
      <w:r w:rsidR="00CD230B">
        <w:rPr>
          <w:rFonts w:cs="Arial"/>
          <w:szCs w:val="22"/>
        </w:rPr>
        <w:t>the other objectives of the FSANZ Act (</w:t>
      </w:r>
      <w:r w:rsidRPr="0027674E">
        <w:rPr>
          <w:rFonts w:cs="Arial"/>
          <w:szCs w:val="22"/>
        </w:rPr>
        <w:t>best available</w:t>
      </w:r>
      <w:r>
        <w:rPr>
          <w:rFonts w:cs="Arial"/>
          <w:szCs w:val="22"/>
        </w:rPr>
        <w:t xml:space="preserve"> scientific evidence</w:t>
      </w:r>
      <w:r w:rsidRPr="0027674E">
        <w:rPr>
          <w:rFonts w:cs="Arial"/>
          <w:szCs w:val="22"/>
        </w:rPr>
        <w:t>, international consistency and industry trade and competition</w:t>
      </w:r>
      <w:r w:rsidR="00CD230B">
        <w:rPr>
          <w:rFonts w:cs="Arial"/>
          <w:szCs w:val="22"/>
        </w:rPr>
        <w:t>)</w:t>
      </w:r>
      <w:r w:rsidRPr="0027674E">
        <w:rPr>
          <w:rFonts w:cs="Arial"/>
          <w:szCs w:val="22"/>
        </w:rPr>
        <w:t>.</w:t>
      </w:r>
      <w:r w:rsidR="00CD230B">
        <w:rPr>
          <w:rFonts w:cs="Arial"/>
          <w:szCs w:val="22"/>
        </w:rPr>
        <w:t xml:space="preserve"> </w:t>
      </w:r>
      <w:r w:rsidR="00CD230B">
        <w:rPr>
          <w:lang w:bidi="ar-SA"/>
        </w:rPr>
        <w:t>FSANZ considers that the strength, quality and type of evidence assessed in this application is appropriate for voluntary compositional permission.</w:t>
      </w:r>
    </w:p>
    <w:p w14:paraId="17EFA5D4" w14:textId="77777777" w:rsidR="00155668" w:rsidRDefault="00155668" w:rsidP="00155668">
      <w:pPr>
        <w:pStyle w:val="Heading5"/>
        <w:keepLines/>
        <w:rPr>
          <w:lang w:val="en-AU"/>
        </w:rPr>
      </w:pPr>
      <w:r>
        <w:rPr>
          <w:lang w:val="en-AU"/>
        </w:rPr>
        <w:t>Intent of Part 2.9 – Special Purpose Foods of the Code</w:t>
      </w:r>
    </w:p>
    <w:p w14:paraId="5FB96C7D" w14:textId="77777777" w:rsidR="00155668" w:rsidRPr="0027674E" w:rsidRDefault="00155668" w:rsidP="00155668">
      <w:pPr>
        <w:keepLines/>
        <w:rPr>
          <w:rFonts w:cs="Arial"/>
          <w:szCs w:val="22"/>
        </w:rPr>
      </w:pPr>
      <w:r w:rsidRPr="0027674E">
        <w:rPr>
          <w:rFonts w:cs="Arial"/>
          <w:szCs w:val="22"/>
        </w:rPr>
        <w:t xml:space="preserve">FSANZ has also </w:t>
      </w:r>
      <w:r w:rsidRPr="0027674E">
        <w:rPr>
          <w:rFonts w:cs="Arial"/>
          <w:i/>
          <w:szCs w:val="22"/>
        </w:rPr>
        <w:t>had regard</w:t>
      </w:r>
      <w:r w:rsidRPr="0027674E">
        <w:rPr>
          <w:rFonts w:cs="Arial"/>
          <w:szCs w:val="22"/>
        </w:rPr>
        <w:t xml:space="preserve"> to the Special Purpose Food policy guideline in accordance with subsection 18(2) of the Act, as well as best available science, international consistency and industry trade and competition.</w:t>
      </w:r>
    </w:p>
    <w:p w14:paraId="6783D345" w14:textId="77777777" w:rsidR="00155668" w:rsidRPr="0027674E" w:rsidRDefault="00155668" w:rsidP="00155668">
      <w:pPr>
        <w:rPr>
          <w:rFonts w:cs="Arial"/>
          <w:szCs w:val="22"/>
        </w:rPr>
      </w:pPr>
    </w:p>
    <w:p w14:paraId="474CF26E" w14:textId="77777777" w:rsidR="00155668" w:rsidRPr="0027674E" w:rsidRDefault="00155668" w:rsidP="00155668">
      <w:pPr>
        <w:rPr>
          <w:rFonts w:cs="Arial"/>
          <w:szCs w:val="22"/>
        </w:rPr>
      </w:pPr>
      <w:r w:rsidRPr="003152AA">
        <w:rPr>
          <w:rFonts w:cs="Arial"/>
          <w:szCs w:val="22"/>
        </w:rPr>
        <w:t xml:space="preserve">FSANZ acknowledges that FSFYC are intended to supplement young children’s diets when </w:t>
      </w:r>
      <w:r>
        <w:rPr>
          <w:rFonts w:cs="Arial"/>
          <w:szCs w:val="22"/>
        </w:rPr>
        <w:t>food</w:t>
      </w:r>
      <w:r w:rsidRPr="003152AA">
        <w:rPr>
          <w:rFonts w:cs="Arial"/>
          <w:szCs w:val="22"/>
        </w:rPr>
        <w:t xml:space="preserve"> intakes may be inadequate. The literature indicates that the diet in early childhood influences the continuing establishment of the gut </w:t>
      </w:r>
      <w:r w:rsidRPr="00BA36B5">
        <w:rPr>
          <w:rFonts w:cs="Arial"/>
          <w:szCs w:val="22"/>
        </w:rPr>
        <w:t>microbiota</w:t>
      </w:r>
      <w:r>
        <w:rPr>
          <w:rFonts w:cs="Arial"/>
          <w:szCs w:val="22"/>
        </w:rPr>
        <w:t xml:space="preserve"> (</w:t>
      </w:r>
      <w:r w:rsidRPr="000D5250">
        <w:rPr>
          <w:rFonts w:cs="Arial"/>
          <w:szCs w:val="22"/>
        </w:rPr>
        <w:t>Mohammadkahah et al 2018; Robertson et al 2019</w:t>
      </w:r>
      <w:r>
        <w:rPr>
          <w:rFonts w:cs="Arial"/>
          <w:szCs w:val="22"/>
        </w:rPr>
        <w:t xml:space="preserve">). </w:t>
      </w:r>
      <w:r w:rsidRPr="00BA36B5">
        <w:rPr>
          <w:rFonts w:cs="Arial"/>
          <w:szCs w:val="22"/>
        </w:rPr>
        <w:t xml:space="preserve">Oligosaccharides (as GOS &amp; ITF) are already permitted in </w:t>
      </w:r>
      <w:r w:rsidRPr="00BA36B5">
        <w:rPr>
          <w:szCs w:val="22"/>
        </w:rPr>
        <w:t xml:space="preserve">FSFYC </w:t>
      </w:r>
      <w:r w:rsidRPr="00BA36B5">
        <w:rPr>
          <w:rFonts w:cs="Arial"/>
          <w:szCs w:val="22"/>
        </w:rPr>
        <w:t xml:space="preserve">and FSANZ’s assessment concluded that 2’FL and LNnT having a bifidogenic effects and a pathogen inhibitory affect are biologically plausible, both of which </w:t>
      </w:r>
      <w:r>
        <w:rPr>
          <w:rFonts w:cs="Arial"/>
          <w:szCs w:val="22"/>
        </w:rPr>
        <w:t>can</w:t>
      </w:r>
      <w:r w:rsidRPr="00BA36B5">
        <w:rPr>
          <w:rFonts w:cs="Arial"/>
          <w:szCs w:val="22"/>
        </w:rPr>
        <w:t xml:space="preserve"> provide beneficial</w:t>
      </w:r>
      <w:r w:rsidRPr="003152AA">
        <w:rPr>
          <w:rFonts w:cs="Arial"/>
          <w:szCs w:val="22"/>
        </w:rPr>
        <w:t xml:space="preserve"> health </w:t>
      </w:r>
      <w:r>
        <w:rPr>
          <w:rFonts w:cs="Arial"/>
          <w:szCs w:val="22"/>
        </w:rPr>
        <w:t>outcomes</w:t>
      </w:r>
      <w:r w:rsidRPr="003152AA">
        <w:rPr>
          <w:rFonts w:cs="Arial"/>
          <w:szCs w:val="22"/>
        </w:rPr>
        <w:t xml:space="preserve"> for young children (as for infants). FSANZ has assessed all available information provided by the applicant and from our own independent literature search, and did not identify evidence that would indicate the assessed anti-infective and bifidogenic effects would be limited to a particular age group of infants or toddlers. </w:t>
      </w:r>
    </w:p>
    <w:p w14:paraId="6DFD432B" w14:textId="77777777" w:rsidR="00155668" w:rsidRPr="0027674E" w:rsidRDefault="00155668" w:rsidP="00155668">
      <w:pPr>
        <w:rPr>
          <w:rFonts w:cs="Arial"/>
          <w:szCs w:val="22"/>
        </w:rPr>
      </w:pPr>
    </w:p>
    <w:p w14:paraId="2806C754" w14:textId="77777777" w:rsidR="00155668" w:rsidRPr="0027674E" w:rsidRDefault="00155668" w:rsidP="00155668">
      <w:pPr>
        <w:widowControl/>
        <w:rPr>
          <w:sz w:val="24"/>
          <w:lang w:eastAsia="en-AU" w:bidi="ar-SA"/>
        </w:rPr>
      </w:pPr>
      <w:r>
        <w:rPr>
          <w:rFonts w:cs="Arial"/>
          <w:szCs w:val="22"/>
        </w:rPr>
        <w:t xml:space="preserve">As </w:t>
      </w:r>
      <w:r w:rsidRPr="00BA36B5">
        <w:rPr>
          <w:rFonts w:cs="Arial"/>
          <w:szCs w:val="22"/>
        </w:rPr>
        <w:t xml:space="preserve">2’FL and LNnT </w:t>
      </w:r>
      <w:r>
        <w:rPr>
          <w:rFonts w:cs="Arial"/>
          <w:szCs w:val="22"/>
        </w:rPr>
        <w:t>are permitted in this food in a number of other countries, t</w:t>
      </w:r>
      <w:r w:rsidRPr="0027674E">
        <w:rPr>
          <w:rFonts w:cs="Arial"/>
          <w:szCs w:val="22"/>
        </w:rPr>
        <w:t>he proposed permission also supports international consistency and a competitive food industry (high order policy principles 2(b) and (c)), providing trade opportunities; and provides alternative options to existing oligosaccharides (GOS and ITF</w:t>
      </w:r>
      <w:r>
        <w:rPr>
          <w:rFonts w:cs="Arial"/>
          <w:szCs w:val="22"/>
        </w:rPr>
        <w:t xml:space="preserve">) which introduces innovation opportunities for Australian and New Zealand </w:t>
      </w:r>
      <w:r w:rsidRPr="0027674E">
        <w:rPr>
          <w:rFonts w:cs="Arial"/>
          <w:szCs w:val="22"/>
        </w:rPr>
        <w:t>industry</w:t>
      </w:r>
      <w:r>
        <w:rPr>
          <w:rFonts w:cs="Arial"/>
          <w:szCs w:val="22"/>
        </w:rPr>
        <w:t xml:space="preserve">. </w:t>
      </w:r>
    </w:p>
    <w:p w14:paraId="71CC2277" w14:textId="5AF0BA00" w:rsidR="00AE5BEE" w:rsidRDefault="004A644C" w:rsidP="00A77CAB">
      <w:pPr>
        <w:pStyle w:val="Heading3"/>
      </w:pPr>
      <w:r>
        <w:t>2.3.2</w:t>
      </w:r>
      <w:r>
        <w:tab/>
      </w:r>
      <w:r w:rsidR="00E559A1">
        <w:t>Maximum use levels and units expression</w:t>
      </w:r>
      <w:bookmarkEnd w:id="95"/>
      <w:bookmarkEnd w:id="96"/>
    </w:p>
    <w:p w14:paraId="4B3E1405" w14:textId="1B1DFC98" w:rsidR="00E559A1" w:rsidRDefault="00E559A1" w:rsidP="00E559A1">
      <w:pPr>
        <w:rPr>
          <w:lang w:eastAsia="en-AU" w:bidi="ar-SA"/>
        </w:rPr>
      </w:pPr>
      <w:r>
        <w:rPr>
          <w:lang w:eastAsia="en-AU" w:bidi="ar-SA"/>
        </w:rPr>
        <w:t xml:space="preserve">The maximum levels of 2′-FL and LNnT </w:t>
      </w:r>
      <w:r w:rsidR="0062321E">
        <w:rPr>
          <w:lang w:eastAsia="en-AU" w:bidi="ar-SA"/>
        </w:rPr>
        <w:t xml:space="preserve">were </w:t>
      </w:r>
      <w:r>
        <w:rPr>
          <w:lang w:eastAsia="en-AU" w:bidi="ar-SA"/>
        </w:rPr>
        <w:t xml:space="preserve">based on </w:t>
      </w:r>
      <w:r w:rsidR="0062321E">
        <w:rPr>
          <w:lang w:eastAsia="en-AU" w:bidi="ar-SA"/>
        </w:rPr>
        <w:t xml:space="preserve">adequate consideration of </w:t>
      </w:r>
      <w:r w:rsidR="002D13A1">
        <w:rPr>
          <w:lang w:eastAsia="en-AU" w:bidi="ar-SA"/>
        </w:rPr>
        <w:t>the</w:t>
      </w:r>
      <w:r>
        <w:rPr>
          <w:lang w:eastAsia="en-AU" w:bidi="ar-SA"/>
        </w:rPr>
        <w:t xml:space="preserve"> safety, technical and health effects assessment, including estimated dietary intakes and naturally occurring levels in human milk</w:t>
      </w:r>
      <w:r w:rsidR="002D13A1">
        <w:rPr>
          <w:lang w:eastAsia="en-AU" w:bidi="ar-SA"/>
        </w:rPr>
        <w:t xml:space="preserve">. </w:t>
      </w:r>
    </w:p>
    <w:p w14:paraId="27FB53EE" w14:textId="033B0B96" w:rsidR="002D13A1" w:rsidRDefault="002D13A1" w:rsidP="00E559A1">
      <w:pPr>
        <w:rPr>
          <w:lang w:eastAsia="en-AU" w:bidi="ar-SA"/>
        </w:rPr>
      </w:pPr>
    </w:p>
    <w:p w14:paraId="6746BBEC" w14:textId="0C63769D" w:rsidR="002D13A1" w:rsidRDefault="002D13A1" w:rsidP="002D13A1">
      <w:pPr>
        <w:widowControl/>
      </w:pPr>
      <w:r>
        <w:t>Internationally, the permitted levels of 2′-FL for use in infant formula and follow-on formula range from 1.2 g/L to 2.4 g/L. Approving a higher level of 2.4 g/L of 2′-FL alone</w:t>
      </w:r>
      <w:r w:rsidRPr="00713A20">
        <w:t xml:space="preserve"> </w:t>
      </w:r>
      <w:r w:rsidR="00067894">
        <w:t xml:space="preserve">or with 0.6 mg/L LNnT </w:t>
      </w:r>
      <w:r>
        <w:t>in Australia and New Zealand would therefore provide greater compatibility with a greater range of overseas food standards and allow for a more efficient and internationally competitive food industry given the high level of international interest in these substances.</w:t>
      </w:r>
    </w:p>
    <w:p w14:paraId="28F88FB0" w14:textId="582F5712" w:rsidR="00FB57BD" w:rsidRDefault="00FB57BD" w:rsidP="002D13A1">
      <w:pPr>
        <w:widowControl/>
      </w:pPr>
    </w:p>
    <w:p w14:paraId="2B2C3ADC" w14:textId="12827230" w:rsidR="00FB57BD" w:rsidRDefault="00FB57BD" w:rsidP="00FB57BD">
      <w:pPr>
        <w:widowControl/>
      </w:pPr>
      <w:r>
        <w:rPr>
          <w:lang w:val="en-AU"/>
        </w:rPr>
        <w:t>The higher maximum use level was also assessed in light of several companies’ interest in applying for their proprietary brand of one or both oligosaccharides, based on overseas approvals</w:t>
      </w:r>
      <w:r w:rsidRPr="000116A0">
        <w:rPr>
          <w:lang w:val="en-AU"/>
        </w:rPr>
        <w:t xml:space="preserve"> </w:t>
      </w:r>
      <w:r>
        <w:rPr>
          <w:lang w:val="en-AU"/>
        </w:rPr>
        <w:t xml:space="preserve">up to 2.4 g/L. </w:t>
      </w:r>
      <w:r w:rsidR="00067894">
        <w:rPr>
          <w:lang w:val="en-AU"/>
        </w:rPr>
        <w:t>FSANZ’s assessment of the safety and health effects up to this maximum level means that, if A1155 were approved, subsequent applications</w:t>
      </w:r>
      <w:r w:rsidR="00067894">
        <w:rPr>
          <w:rStyle w:val="FootnoteReference"/>
          <w:lang w:val="en-AU"/>
        </w:rPr>
        <w:footnoteReference w:id="19"/>
      </w:r>
      <w:r w:rsidR="00067894">
        <w:rPr>
          <w:lang w:val="en-AU"/>
        </w:rPr>
        <w:t xml:space="preserve"> would reduce in scope to an assessment of the safety of the method of production and product specification. This would simplify future assessments consistent with the Ministerial priority to maintain an agile food regulatory system.</w:t>
      </w:r>
      <w:r>
        <w:rPr>
          <w:lang w:val="en-AU"/>
        </w:rPr>
        <w:t>.</w:t>
      </w:r>
    </w:p>
    <w:p w14:paraId="0B382DA5" w14:textId="77777777" w:rsidR="002D13A1" w:rsidRDefault="002D13A1" w:rsidP="00E559A1">
      <w:pPr>
        <w:rPr>
          <w:lang w:eastAsia="en-AU" w:bidi="ar-SA"/>
        </w:rPr>
      </w:pPr>
    </w:p>
    <w:p w14:paraId="06ADADEA" w14:textId="13CBE476" w:rsidR="002D13A1" w:rsidRDefault="002D13A1" w:rsidP="00BC07DA">
      <w:r>
        <w:t>We also note that a maximum of 2.4 g/</w:t>
      </w:r>
      <w:r>
        <w:rPr>
          <w:lang w:eastAsia="en-AU" w:bidi="ar-SA"/>
        </w:rPr>
        <w:t>L is significantly lower than the total concentration of oligosaccharides present in mature human milk (i.e. 10–15 g/L).</w:t>
      </w:r>
      <w:r w:rsidR="008522D5">
        <w:rPr>
          <w:lang w:eastAsia="en-AU" w:bidi="ar-SA"/>
        </w:rPr>
        <w:t xml:space="preserve"> </w:t>
      </w:r>
      <w:r w:rsidR="0062321E">
        <w:rPr>
          <w:lang w:eastAsia="en-AU" w:bidi="ar-SA"/>
        </w:rPr>
        <w:t>This e</w:t>
      </w:r>
      <w:r>
        <w:rPr>
          <w:lang w:eastAsia="en-AU" w:bidi="ar-SA"/>
        </w:rPr>
        <w:t xml:space="preserve">nables future consideration of alternative oligosaccharides. </w:t>
      </w:r>
      <w:r>
        <w:t xml:space="preserve">The prohibition of use in combination with GOS and ITF means these are an alternative and there is no cumulative increase to the total oligosaccharide load consumed by infants. </w:t>
      </w:r>
    </w:p>
    <w:p w14:paraId="23B6D044" w14:textId="76A2615A" w:rsidR="00E529F3" w:rsidRDefault="00E529F3" w:rsidP="00280A76">
      <w:pPr>
        <w:pStyle w:val="Heading3"/>
      </w:pPr>
      <w:bookmarkStart w:id="97" w:name="_Toc22303672"/>
      <w:bookmarkStart w:id="98" w:name="_Toc22650335"/>
      <w:r>
        <w:t>2.3.</w:t>
      </w:r>
      <w:r w:rsidR="00155668">
        <w:t>3</w:t>
      </w:r>
      <w:r>
        <w:tab/>
        <w:t>Minimum levels</w:t>
      </w:r>
      <w:bookmarkEnd w:id="97"/>
      <w:bookmarkEnd w:id="98"/>
      <w:r>
        <w:t xml:space="preserve"> </w:t>
      </w:r>
    </w:p>
    <w:p w14:paraId="4AFFB34F" w14:textId="77D2EDB7" w:rsidR="007C5C51" w:rsidRPr="007C5C51" w:rsidRDefault="00F84164" w:rsidP="009B64DA">
      <w:r w:rsidRPr="007C5C51">
        <w:t>A minimum permitted amount was not requested in the application and has not been determined by FSANZ.</w:t>
      </w:r>
      <w:r w:rsidR="007C5C51" w:rsidRPr="007C5C51">
        <w:t xml:space="preserve"> FSANZ also considers that </w:t>
      </w:r>
      <w:r w:rsidR="001F5C0B">
        <w:t>i</w:t>
      </w:r>
      <w:r w:rsidR="00DB19BB" w:rsidRPr="00DB19BB">
        <w:t xml:space="preserve">ngredients which are </w:t>
      </w:r>
      <w:r w:rsidR="001F5C0B">
        <w:t>intended</w:t>
      </w:r>
      <w:r w:rsidR="00DB19BB" w:rsidRPr="00DB19BB">
        <w:t xml:space="preserve"> to modulate gut microflora may result in variable outcomes in individuals due to the unique microbial ecology of individuals and a variety of host and environmental factors. </w:t>
      </w:r>
      <w:r w:rsidR="007C5C51" w:rsidRPr="007C5C51">
        <w:t xml:space="preserve">For these reasons setting a minimum effective ‘dose’ isn’t an appropriate approach. This is consistent with the permissions overseas. </w:t>
      </w:r>
    </w:p>
    <w:p w14:paraId="1E81A788" w14:textId="78ADACDB" w:rsidR="008D4C38" w:rsidRDefault="00B14809" w:rsidP="00A77CAB">
      <w:pPr>
        <w:pStyle w:val="Heading3"/>
      </w:pPr>
      <w:bookmarkStart w:id="99" w:name="_Toc22303673"/>
      <w:bookmarkStart w:id="100" w:name="_Toc22650336"/>
      <w:bookmarkStart w:id="101" w:name="_Toc22303674"/>
      <w:bookmarkStart w:id="102" w:name="_Toc22650337"/>
      <w:bookmarkEnd w:id="99"/>
      <w:bookmarkEnd w:id="100"/>
      <w:r>
        <w:t>2.3.4</w:t>
      </w:r>
      <w:r>
        <w:tab/>
      </w:r>
      <w:r w:rsidR="00515F57">
        <w:t>Labelling</w:t>
      </w:r>
      <w:bookmarkEnd w:id="101"/>
      <w:bookmarkEnd w:id="102"/>
      <w:r w:rsidR="00515F57">
        <w:t xml:space="preserve"> </w:t>
      </w:r>
    </w:p>
    <w:p w14:paraId="31FACC2F" w14:textId="6DEEB826" w:rsidR="008476F0" w:rsidRPr="00146ECA" w:rsidRDefault="00B14809" w:rsidP="00F47F2F">
      <w:pPr>
        <w:pStyle w:val="Heading4"/>
        <w:rPr>
          <w:b w:val="0"/>
        </w:rPr>
      </w:pPr>
      <w:r>
        <w:rPr>
          <w:lang w:eastAsia="en-AU"/>
        </w:rPr>
        <w:t>2.3.4.1</w:t>
      </w:r>
      <w:r w:rsidR="008476F0" w:rsidRPr="00146ECA">
        <w:rPr>
          <w:b w:val="0"/>
        </w:rPr>
        <w:t xml:space="preserve"> </w:t>
      </w:r>
      <w:r w:rsidR="00C91371" w:rsidRPr="00146ECA">
        <w:rPr>
          <w:b w:val="0"/>
        </w:rPr>
        <w:tab/>
      </w:r>
      <w:r w:rsidR="008476F0" w:rsidRPr="00884A37">
        <w:t>Statement of ingredients</w:t>
      </w:r>
    </w:p>
    <w:p w14:paraId="7D77FF7C" w14:textId="77777777" w:rsidR="008476F0" w:rsidRPr="008476F0" w:rsidRDefault="008476F0" w:rsidP="008476F0">
      <w:pPr>
        <w:rPr>
          <w:lang w:bidi="ar-SA"/>
        </w:rPr>
      </w:pPr>
      <w:r w:rsidRPr="008476F0">
        <w:rPr>
          <w:lang w:bidi="ar-SA"/>
        </w:rPr>
        <w:t xml:space="preserve">Standard 1.2.4 – Information requirements – statement of ingredients requires food for sale to be labelled with a statement of ingredients unless exempt. The label on a package of </w:t>
      </w:r>
      <w:r w:rsidRPr="008476F0" w:rsidDel="009E5806">
        <w:rPr>
          <w:lang w:bidi="ar-SA"/>
        </w:rPr>
        <w:t>infant formula</w:t>
      </w:r>
      <w:r w:rsidRPr="008476F0">
        <w:rPr>
          <w:lang w:bidi="ar-SA"/>
        </w:rPr>
        <w:t xml:space="preserve"> products and FSFYC must contain a statement of ingredients. Should manufacturers choose to add 2′-FL alone or combined with LNnT to these foods, then these substances will be required to be declared in the statement of ingredients.</w:t>
      </w:r>
    </w:p>
    <w:p w14:paraId="7F914522" w14:textId="77777777" w:rsidR="008476F0" w:rsidRPr="008476F0" w:rsidRDefault="008476F0" w:rsidP="008476F0">
      <w:pPr>
        <w:rPr>
          <w:lang w:bidi="ar-SA"/>
        </w:rPr>
      </w:pPr>
    </w:p>
    <w:p w14:paraId="03162AC2" w14:textId="77777777" w:rsidR="008476F0" w:rsidRPr="008476F0" w:rsidRDefault="008476F0" w:rsidP="008476F0">
      <w:pPr>
        <w:rPr>
          <w:lang w:bidi="ar-SA"/>
        </w:rPr>
      </w:pPr>
      <w:r w:rsidRPr="008476F0">
        <w:rPr>
          <w:lang w:bidi="ar-SA"/>
        </w:rPr>
        <w:t>Generic ingredient labelling provisions in section 1.2.4—4 require ingredients to be identified using a name by which they are commonly known, or a name that describes its true nature, or a generic ingredient name if one is specified in Schedule 10 – Generic names of ingredients and conditions for their use.</w:t>
      </w:r>
    </w:p>
    <w:p w14:paraId="0472FC44" w14:textId="77777777" w:rsidR="008476F0" w:rsidRPr="008476F0" w:rsidRDefault="008476F0" w:rsidP="008476F0">
      <w:pPr>
        <w:rPr>
          <w:lang w:bidi="ar-SA"/>
        </w:rPr>
      </w:pPr>
    </w:p>
    <w:p w14:paraId="49B04005" w14:textId="02E38B29" w:rsidR="008476F0" w:rsidRPr="008476F0" w:rsidRDefault="008476F0" w:rsidP="00D22276">
      <w:pPr>
        <w:widowControl/>
        <w:rPr>
          <w:rFonts w:cs="Arial"/>
          <w:szCs w:val="22"/>
        </w:rPr>
      </w:pPr>
      <w:r w:rsidRPr="008476F0">
        <w:rPr>
          <w:lang w:bidi="ar-SA"/>
        </w:rPr>
        <w:t>At 1</w:t>
      </w:r>
      <w:r w:rsidRPr="008476F0">
        <w:rPr>
          <w:vertAlign w:val="superscript"/>
          <w:lang w:bidi="ar-SA"/>
        </w:rPr>
        <w:t>st</w:t>
      </w:r>
      <w:r w:rsidRPr="008476F0">
        <w:rPr>
          <w:lang w:bidi="ar-SA"/>
        </w:rPr>
        <w:t xml:space="preserve"> C</w:t>
      </w:r>
      <w:r w:rsidR="00F827DC">
        <w:rPr>
          <w:lang w:bidi="ar-SA"/>
        </w:rPr>
        <w:t>all for Submissions</w:t>
      </w:r>
      <w:r w:rsidRPr="008476F0">
        <w:rPr>
          <w:lang w:bidi="ar-SA"/>
        </w:rPr>
        <w:t>, FSANZ proposed prescribing ingredient names for infant formula products and FSFYC</w:t>
      </w:r>
      <w:r w:rsidRPr="008476F0" w:rsidDel="006F4884">
        <w:rPr>
          <w:lang w:bidi="ar-SA"/>
        </w:rPr>
        <w:t xml:space="preserve"> </w:t>
      </w:r>
      <w:r w:rsidRPr="008476F0">
        <w:rPr>
          <w:lang w:bidi="ar-SA"/>
        </w:rPr>
        <w:t>to achieve a consistent and uniform disclosure of these ingredients for both product categories.</w:t>
      </w:r>
      <w:r w:rsidRPr="008476F0" w:rsidDel="006F4884">
        <w:rPr>
          <w:lang w:bidi="ar-SA"/>
        </w:rPr>
        <w:t xml:space="preserve"> </w:t>
      </w:r>
      <w:r w:rsidRPr="008476F0">
        <w:rPr>
          <w:lang w:bidi="ar-SA"/>
        </w:rPr>
        <w:t xml:space="preserve">We noted that infant formula products would already be prohibited from using terms such as ‘human milk identical oligosaccharide’ for ingredients under section 2.9.1—24 (Prohibited representations). </w:t>
      </w:r>
      <w:r w:rsidRPr="008476F0">
        <w:rPr>
          <w:rFonts w:cs="Arial"/>
          <w:szCs w:val="22"/>
        </w:rPr>
        <w:t xml:space="preserve">Following consideration of submissions to the </w:t>
      </w:r>
      <w:r w:rsidR="00F827DC">
        <w:rPr>
          <w:rFonts w:cs="Arial"/>
          <w:szCs w:val="22"/>
        </w:rPr>
        <w:t>1</w:t>
      </w:r>
      <w:r w:rsidR="00F827DC" w:rsidRPr="00F827DC">
        <w:rPr>
          <w:rFonts w:cs="Arial"/>
          <w:szCs w:val="22"/>
          <w:vertAlign w:val="superscript"/>
        </w:rPr>
        <w:t>st</w:t>
      </w:r>
      <w:r w:rsidR="00F827DC">
        <w:rPr>
          <w:rFonts w:cs="Arial"/>
          <w:szCs w:val="22"/>
        </w:rPr>
        <w:t xml:space="preserve"> Call for Submissions, </w:t>
      </w:r>
      <w:r w:rsidRPr="008476F0">
        <w:rPr>
          <w:rFonts w:cs="Arial"/>
          <w:szCs w:val="22"/>
        </w:rPr>
        <w:t xml:space="preserve">FSANZ reconsidered the approach to prescribe ingredient names and </w:t>
      </w:r>
      <w:r>
        <w:rPr>
          <w:rFonts w:cs="Arial"/>
          <w:szCs w:val="22"/>
        </w:rPr>
        <w:t xml:space="preserve">proposed </w:t>
      </w:r>
      <w:r w:rsidRPr="008476F0">
        <w:rPr>
          <w:rFonts w:cs="Arial"/>
          <w:szCs w:val="22"/>
        </w:rPr>
        <w:t xml:space="preserve">that generic ingredient naming requirements apply, consistent with the general approach in the Code. </w:t>
      </w:r>
      <w:r w:rsidR="00D22276">
        <w:t xml:space="preserve">The approach taken by FSANZ </w:t>
      </w:r>
      <w:r w:rsidR="00D22276" w:rsidRPr="008476F0">
        <w:t>addresse</w:t>
      </w:r>
      <w:r w:rsidR="00D22276">
        <w:t>s</w:t>
      </w:r>
      <w:r w:rsidR="00D22276" w:rsidRPr="008476F0">
        <w:t xml:space="preserve"> concerns </w:t>
      </w:r>
      <w:r w:rsidR="00D22276">
        <w:t>from submitters to the 1</w:t>
      </w:r>
      <w:r w:rsidR="00D22276" w:rsidRPr="00F827DC">
        <w:rPr>
          <w:vertAlign w:val="superscript"/>
        </w:rPr>
        <w:t>st</w:t>
      </w:r>
      <w:r w:rsidR="00D22276">
        <w:t xml:space="preserve"> C</w:t>
      </w:r>
      <w:r w:rsidR="00D93BDC">
        <w:t xml:space="preserve">all for </w:t>
      </w:r>
      <w:r w:rsidR="00D22276">
        <w:t>S</w:t>
      </w:r>
      <w:r w:rsidR="00D93BDC">
        <w:t>ubmissions</w:t>
      </w:r>
      <w:r w:rsidR="00D22276">
        <w:t xml:space="preserve"> </w:t>
      </w:r>
      <w:r w:rsidR="00D22276" w:rsidRPr="008476F0">
        <w:t xml:space="preserve">about the use of terms such as ‘human milk identical oligosaccharide’ or ‘HiMO’ by proposing a specific prohibition as discussed below in </w:t>
      </w:r>
      <w:r w:rsidR="00D22276" w:rsidRPr="00A710AC">
        <w:t>section 2.3.4.3.</w:t>
      </w:r>
      <w:r w:rsidR="00D22276">
        <w:t xml:space="preserve"> </w:t>
      </w:r>
      <w:r w:rsidRPr="008476F0">
        <w:rPr>
          <w:rFonts w:cs="Arial"/>
          <w:szCs w:val="22"/>
        </w:rPr>
        <w:t xml:space="preserve">There is no prescription in the Code for the naming </w:t>
      </w:r>
      <w:r w:rsidR="00146ECA">
        <w:rPr>
          <w:rFonts w:cs="Arial"/>
          <w:szCs w:val="22"/>
        </w:rPr>
        <w:t xml:space="preserve">of </w:t>
      </w:r>
      <w:r w:rsidRPr="008476F0">
        <w:rPr>
          <w:rFonts w:cs="Arial"/>
          <w:szCs w:val="22"/>
        </w:rPr>
        <w:t xml:space="preserve">other ingredients (including nutritive substances) currently permitted to be added to infant formula products and FSFYC. The revised approach will provide </w:t>
      </w:r>
      <w:r w:rsidR="00A15731">
        <w:rPr>
          <w:rFonts w:cs="Arial"/>
          <w:szCs w:val="22"/>
        </w:rPr>
        <w:t xml:space="preserve">the </w:t>
      </w:r>
      <w:r w:rsidRPr="008476F0">
        <w:rPr>
          <w:rFonts w:cs="Arial"/>
          <w:szCs w:val="22"/>
        </w:rPr>
        <w:t xml:space="preserve">flexibility sought by industry in how they declare these ingredients (for example, using ‘2-fucosyllactose’ and ‘lacto-N-neotetraose’, which aligns with the EU approach and </w:t>
      </w:r>
      <w:r w:rsidR="00D22276">
        <w:rPr>
          <w:rFonts w:cs="Arial"/>
          <w:szCs w:val="22"/>
        </w:rPr>
        <w:t>was</w:t>
      </w:r>
      <w:r w:rsidRPr="008476F0">
        <w:rPr>
          <w:rFonts w:cs="Arial"/>
          <w:szCs w:val="22"/>
        </w:rPr>
        <w:t xml:space="preserve"> </w:t>
      </w:r>
      <w:r w:rsidR="009C1250">
        <w:rPr>
          <w:rFonts w:cs="Arial"/>
          <w:szCs w:val="22"/>
        </w:rPr>
        <w:t xml:space="preserve">originally </w:t>
      </w:r>
      <w:r w:rsidRPr="008476F0">
        <w:rPr>
          <w:rFonts w:cs="Arial"/>
          <w:szCs w:val="22"/>
        </w:rPr>
        <w:t>suggested by the applicant</w:t>
      </w:r>
      <w:r w:rsidR="009C1250">
        <w:rPr>
          <w:rFonts w:cs="Arial"/>
          <w:szCs w:val="22"/>
        </w:rPr>
        <w:t xml:space="preserve"> </w:t>
      </w:r>
      <w:hyperlink r:id="rId35" w:history="1">
        <w:r w:rsidR="009C1250" w:rsidRPr="009C1250">
          <w:rPr>
            <w:rStyle w:val="Hyperlink"/>
            <w:rFonts w:cs="Arial"/>
            <w:szCs w:val="22"/>
          </w:rPr>
          <w:t>refer to section F1 of the Application</w:t>
        </w:r>
      </w:hyperlink>
      <w:r w:rsidRPr="008476F0">
        <w:rPr>
          <w:rFonts w:cs="Arial"/>
          <w:szCs w:val="22"/>
        </w:rPr>
        <w:t xml:space="preserve">). </w:t>
      </w:r>
    </w:p>
    <w:p w14:paraId="0994D696" w14:textId="53F085D3" w:rsidR="008476F0" w:rsidRDefault="008476F0" w:rsidP="008476F0">
      <w:pPr>
        <w:rPr>
          <w:rFonts w:cs="Arial"/>
          <w:szCs w:val="22"/>
        </w:rPr>
      </w:pPr>
    </w:p>
    <w:p w14:paraId="4D4AC9B7" w14:textId="16F8ABD2" w:rsidR="008476F0" w:rsidRDefault="00F827DC" w:rsidP="008476F0">
      <w:pPr>
        <w:rPr>
          <w:rFonts w:cs="Arial"/>
          <w:szCs w:val="22"/>
        </w:rPr>
      </w:pPr>
      <w:r>
        <w:rPr>
          <w:rFonts w:cs="Arial"/>
          <w:szCs w:val="22"/>
        </w:rPr>
        <w:t>At 2</w:t>
      </w:r>
      <w:r w:rsidRPr="00F827DC">
        <w:rPr>
          <w:rFonts w:cs="Arial"/>
          <w:szCs w:val="22"/>
          <w:vertAlign w:val="superscript"/>
        </w:rPr>
        <w:t>nd</w:t>
      </w:r>
      <w:r>
        <w:rPr>
          <w:rFonts w:cs="Arial"/>
          <w:szCs w:val="22"/>
        </w:rPr>
        <w:t xml:space="preserve"> Call for Submissions, s</w:t>
      </w:r>
      <w:r w:rsidR="008476F0">
        <w:rPr>
          <w:rFonts w:cs="Arial"/>
          <w:szCs w:val="22"/>
        </w:rPr>
        <w:t>ubmitters from industry and one jurisdiction supported the revised approach</w:t>
      </w:r>
      <w:r>
        <w:rPr>
          <w:rFonts w:cs="Arial"/>
          <w:szCs w:val="22"/>
        </w:rPr>
        <w:t xml:space="preserve"> for the declaration of ingredient names</w:t>
      </w:r>
      <w:r w:rsidR="008476F0">
        <w:rPr>
          <w:rFonts w:cs="Arial"/>
          <w:szCs w:val="22"/>
        </w:rPr>
        <w:t xml:space="preserve">. </w:t>
      </w:r>
      <w:r>
        <w:rPr>
          <w:rFonts w:cs="Arial"/>
          <w:szCs w:val="22"/>
        </w:rPr>
        <w:t>No submitters opposed this approach.</w:t>
      </w:r>
    </w:p>
    <w:p w14:paraId="57B15883" w14:textId="5DBC3AF9" w:rsidR="00C91371" w:rsidRPr="00574091" w:rsidRDefault="008B14BA" w:rsidP="0028103C">
      <w:pPr>
        <w:pStyle w:val="Heading4"/>
        <w:keepLines/>
      </w:pPr>
      <w:r w:rsidRPr="00574091">
        <w:t>2.3.4.2</w:t>
      </w:r>
      <w:r w:rsidR="00146ECA" w:rsidRPr="00574091">
        <w:tab/>
      </w:r>
      <w:r w:rsidR="00C91371" w:rsidRPr="00574091">
        <w:tab/>
        <w:t xml:space="preserve">Mandatory nutrition information  </w:t>
      </w:r>
    </w:p>
    <w:p w14:paraId="499D711B" w14:textId="77777777" w:rsidR="00C91371" w:rsidRPr="00C91371" w:rsidRDefault="00C91371" w:rsidP="0028103C">
      <w:pPr>
        <w:keepNext/>
        <w:keepLines/>
      </w:pPr>
      <w:r w:rsidRPr="00C91371">
        <w:t xml:space="preserve">For infant formula products, section 2.9.1—21 regulates the declaration of nutrition information in a nutrition information statement on the label. The nutrition information statement is a single statement and may be in the form of a table, as indicated in section S29—10 – Guidelines for infant formula products. </w:t>
      </w:r>
    </w:p>
    <w:p w14:paraId="3808F8A5" w14:textId="77777777" w:rsidR="00C91371" w:rsidRPr="00C91371" w:rsidRDefault="00C91371" w:rsidP="00C91371"/>
    <w:p w14:paraId="4B3791A1" w14:textId="61B1F308" w:rsidR="00C91371" w:rsidRPr="00C91371" w:rsidRDefault="00C91371" w:rsidP="00A710AC">
      <w:pPr>
        <w:keepNext/>
        <w:keepLines/>
      </w:pPr>
      <w:r w:rsidRPr="00C91371">
        <w:t xml:space="preserve">Paragraph 2.9.1—21(1)(iii) requires the average amount of each vitamin and mineral and any other substance </w:t>
      </w:r>
      <w:r w:rsidRPr="00C91371">
        <w:rPr>
          <w:i/>
        </w:rPr>
        <w:t>used as a nutritive substance</w:t>
      </w:r>
      <w:r w:rsidRPr="00C91371">
        <w:t xml:space="preserve"> permitted by the standard to be declared in the nutrition information statement. As both 2′-FL and LNnT </w:t>
      </w:r>
      <w:r w:rsidR="00D22276">
        <w:t xml:space="preserve">are permitted </w:t>
      </w:r>
      <w:r w:rsidRPr="00C91371">
        <w:t xml:space="preserve">to be </w:t>
      </w:r>
      <w:r w:rsidRPr="00C91371">
        <w:rPr>
          <w:i/>
        </w:rPr>
        <w:t xml:space="preserve">used as a nutritive substance </w:t>
      </w:r>
      <w:r w:rsidRPr="00C91371">
        <w:t>in infant formula products, they must be declared in the nutrition information statement</w:t>
      </w:r>
      <w:r w:rsidR="00CA347D">
        <w:t xml:space="preserve"> when they are used.</w:t>
      </w:r>
      <w:r w:rsidRPr="00C91371">
        <w:t xml:space="preserve"> </w:t>
      </w:r>
    </w:p>
    <w:p w14:paraId="2DDAB677" w14:textId="77777777" w:rsidR="00C91371" w:rsidRPr="00C91371" w:rsidRDefault="00C91371" w:rsidP="00C91371"/>
    <w:p w14:paraId="3A96B910" w14:textId="227CB6BB" w:rsidR="00C91371" w:rsidRPr="00C91371" w:rsidRDefault="00C91371" w:rsidP="00C91371">
      <w:r w:rsidRPr="00C91371">
        <w:t xml:space="preserve">For FSFYC, the existing general requirements in Standard 1.2.8 – Nutrition information requirements apply. That is, the addition of 2′-FL alone or with LNnT to FSFYC as ingredients, would not trigger a mandatory declaration in the nutrition information panel (NIP) unless a claim requiring nutrition information (a nutrition content claim or a health claim) is made. </w:t>
      </w:r>
    </w:p>
    <w:p w14:paraId="43467FBE" w14:textId="77777777" w:rsidR="00C91371" w:rsidRPr="00C91371" w:rsidRDefault="00C91371" w:rsidP="00C91371"/>
    <w:p w14:paraId="029F6934" w14:textId="77777777" w:rsidR="00C91371" w:rsidRPr="00C91371" w:rsidRDefault="00C91371" w:rsidP="00C91371">
      <w:r w:rsidRPr="00C91371">
        <w:t xml:space="preserve">When a nutrition content claim is made, the property of the food that is the subject of the claim dictates how the declaration should be made in the NIP. For example, if a nutrition content claim about dietary fibre is made for 2′-FL or LNnT, the NIP must include a declaration of the presence of dietary fibre in accordance with section 1.2.8—6(5). </w:t>
      </w:r>
    </w:p>
    <w:p w14:paraId="3893A6D0" w14:textId="77777777" w:rsidR="00C91371" w:rsidRPr="00C91371" w:rsidRDefault="00C91371" w:rsidP="00C91371"/>
    <w:p w14:paraId="137358E0" w14:textId="4EE587D4" w:rsidR="00C91371" w:rsidRPr="00C91371" w:rsidRDefault="008B14BA" w:rsidP="00C91371">
      <w:r>
        <w:t xml:space="preserve">FSANZ has considered how </w:t>
      </w:r>
      <w:r w:rsidRPr="008B14BA">
        <w:t xml:space="preserve">2′-FL </w:t>
      </w:r>
      <w:r>
        <w:t xml:space="preserve">and </w:t>
      </w:r>
      <w:r w:rsidRPr="008B14BA">
        <w:t xml:space="preserve">LNnT </w:t>
      </w:r>
      <w:r>
        <w:t>will be decla</w:t>
      </w:r>
      <w:r w:rsidR="00A710AC">
        <w:t xml:space="preserve">red in the context of existing </w:t>
      </w:r>
      <w:r>
        <w:t xml:space="preserve">nutrition information requirements </w:t>
      </w:r>
      <w:r w:rsidR="00D53A2D">
        <w:t xml:space="preserve">(this section) </w:t>
      </w:r>
      <w:r>
        <w:t xml:space="preserve">and </w:t>
      </w:r>
      <w:r w:rsidR="002F209B">
        <w:t>determined i</w:t>
      </w:r>
      <w:r w:rsidR="00C91371" w:rsidRPr="00C91371">
        <w:t xml:space="preserve">ngredient names </w:t>
      </w:r>
      <w:r>
        <w:t xml:space="preserve">will </w:t>
      </w:r>
      <w:r w:rsidR="00C91371" w:rsidRPr="00C91371">
        <w:t>not</w:t>
      </w:r>
      <w:r>
        <w:t xml:space="preserve"> be</w:t>
      </w:r>
      <w:r w:rsidR="00C91371" w:rsidRPr="00C91371">
        <w:t xml:space="preserve"> prescribed (see section 2.3.</w:t>
      </w:r>
      <w:r>
        <w:t>4.</w:t>
      </w:r>
      <w:r w:rsidR="00D53A2D">
        <w:t>1</w:t>
      </w:r>
      <w:r w:rsidR="00C91371" w:rsidRPr="00C91371">
        <w:t>)</w:t>
      </w:r>
      <w:r w:rsidR="002F209B">
        <w:t xml:space="preserve">. This will </w:t>
      </w:r>
      <w:r w:rsidR="00C91371" w:rsidRPr="00C91371">
        <w:t xml:space="preserve">mean that the use of acronyms (e.g. 2′-FL or LNnT) </w:t>
      </w:r>
      <w:r w:rsidR="00CA347D">
        <w:t xml:space="preserve">or the general term oligosaccharide are </w:t>
      </w:r>
      <w:r w:rsidR="00C91371" w:rsidRPr="00C91371">
        <w:t>not prohibited on infant formula products or FSFYC. However, manufacturers w</w:t>
      </w:r>
      <w:r w:rsidR="002F209B">
        <w:t>ill</w:t>
      </w:r>
      <w:r w:rsidR="00C91371" w:rsidRPr="00C91371">
        <w:t xml:space="preserve"> be prohibited from using the terms ‘human milk oligosaccharide’, ‘human milk identical oligosaccharide’ or abbreviations of these (or words or abbreviations having the same or similar effect) when making a mandatory nutrition declaration for an infant formula product or a FSFYC (when a voluntary claim is made for the latter)</w:t>
      </w:r>
      <w:r w:rsidR="00D53A2D">
        <w:t xml:space="preserve"> (see section 2.3.4.3)</w:t>
      </w:r>
      <w:r w:rsidR="00C91371" w:rsidRPr="00C91371">
        <w:t xml:space="preserve">. </w:t>
      </w:r>
    </w:p>
    <w:p w14:paraId="311268D3" w14:textId="1902A04E" w:rsidR="008C7470" w:rsidRDefault="008B14BA" w:rsidP="00574091">
      <w:pPr>
        <w:pStyle w:val="Heading4"/>
      </w:pPr>
      <w:r>
        <w:t>2.3.4.3</w:t>
      </w:r>
      <w:r w:rsidR="00F827DC">
        <w:tab/>
      </w:r>
      <w:r w:rsidR="00574091">
        <w:tab/>
      </w:r>
      <w:r w:rsidR="000F7B31" w:rsidRPr="00146ECA">
        <w:t>Prohibited representations</w:t>
      </w:r>
      <w:r w:rsidR="00E559A1" w:rsidRPr="00146ECA">
        <w:rPr>
          <w:b w:val="0"/>
        </w:rPr>
        <w:t xml:space="preserve"> </w:t>
      </w:r>
    </w:p>
    <w:p w14:paraId="21024907" w14:textId="2EC42B10" w:rsidR="00146ECA" w:rsidRPr="00A710AC" w:rsidRDefault="00146ECA" w:rsidP="00A710AC">
      <w:pPr>
        <w:pStyle w:val="Heading5"/>
      </w:pPr>
      <w:r w:rsidRPr="00A710AC">
        <w:t>Infant formula products</w:t>
      </w:r>
    </w:p>
    <w:p w14:paraId="1462E650" w14:textId="64A97685" w:rsidR="00A9269B" w:rsidRDefault="00292C22" w:rsidP="00A9269B">
      <w:pPr>
        <w:widowControl/>
        <w:rPr>
          <w:rFonts w:cs="Arial"/>
          <w:sz w:val="20"/>
          <w:szCs w:val="20"/>
        </w:rPr>
      </w:pPr>
      <w:r>
        <w:rPr>
          <w:rFonts w:cs="Arial"/>
          <w:szCs w:val="22"/>
        </w:rPr>
        <w:t xml:space="preserve">The approval of </w:t>
      </w:r>
      <w:r w:rsidRPr="007F4644">
        <w:t>2</w:t>
      </w:r>
      <w:r>
        <w:t>′</w:t>
      </w:r>
      <w:r w:rsidRPr="007F4644">
        <w:t>-FL and LNnT</w:t>
      </w:r>
      <w:r>
        <w:rPr>
          <w:rFonts w:cs="Arial"/>
          <w:szCs w:val="22"/>
        </w:rPr>
        <w:t xml:space="preserve"> is on the condition that references </w:t>
      </w:r>
      <w:r w:rsidRPr="003E7621">
        <w:rPr>
          <w:rFonts w:cs="Arial"/>
          <w:szCs w:val="22"/>
        </w:rPr>
        <w:t xml:space="preserve">to ‘human milk identical oligosaccharide’, ‘human milk oligosaccharide’, ‘HiMO’ or ‘HMO’ (or words or abbreviations of similar effect) on infant formula products </w:t>
      </w:r>
      <w:r>
        <w:rPr>
          <w:rFonts w:cs="Arial"/>
          <w:szCs w:val="22"/>
        </w:rPr>
        <w:t>are prohibited</w:t>
      </w:r>
      <w:r w:rsidRPr="003E7621" w:rsidDel="00531010">
        <w:rPr>
          <w:rFonts w:cs="Arial"/>
          <w:szCs w:val="22"/>
        </w:rPr>
        <w:t xml:space="preserve">. </w:t>
      </w:r>
      <w:r w:rsidR="00E559A1">
        <w:rPr>
          <w:rFonts w:cs="Arial"/>
          <w:szCs w:val="22"/>
        </w:rPr>
        <w:t>These restrictions were introduced in response to concerns raised in submissions to the 1</w:t>
      </w:r>
      <w:r w:rsidR="00E559A1" w:rsidRPr="00E559A1">
        <w:rPr>
          <w:rFonts w:cs="Arial"/>
          <w:szCs w:val="22"/>
          <w:vertAlign w:val="superscript"/>
        </w:rPr>
        <w:t>st</w:t>
      </w:r>
      <w:r w:rsidR="00E559A1">
        <w:rPr>
          <w:rFonts w:cs="Arial"/>
          <w:szCs w:val="22"/>
        </w:rPr>
        <w:t xml:space="preserve"> Call for Submissions report. </w:t>
      </w:r>
      <w:r w:rsidR="00A9269B">
        <w:rPr>
          <w:rFonts w:cs="Arial"/>
          <w:szCs w:val="22"/>
        </w:rPr>
        <w:t xml:space="preserve">The permitted approach provides flexibility for declaration of ingredients and nutrition information as their full chemical name, </w:t>
      </w:r>
      <w:r w:rsidR="00A9269B" w:rsidRPr="00F827DC">
        <w:rPr>
          <w:rFonts w:cs="Arial"/>
          <w:szCs w:val="22"/>
        </w:rPr>
        <w:t xml:space="preserve">the abbreviated chemical name/acronym or the generic term </w:t>
      </w:r>
      <w:r w:rsidR="00A9269B">
        <w:rPr>
          <w:rFonts w:cs="Arial"/>
          <w:szCs w:val="22"/>
        </w:rPr>
        <w:t>‘</w:t>
      </w:r>
      <w:r w:rsidR="00A9269B" w:rsidRPr="00F827DC">
        <w:rPr>
          <w:rFonts w:cs="Arial"/>
          <w:szCs w:val="22"/>
        </w:rPr>
        <w:t>oligosaccharides</w:t>
      </w:r>
      <w:r w:rsidR="00A9269B">
        <w:rPr>
          <w:rFonts w:cs="Arial"/>
          <w:szCs w:val="22"/>
        </w:rPr>
        <w:t xml:space="preserve">’ can all be used. </w:t>
      </w:r>
    </w:p>
    <w:p w14:paraId="7AA1982B" w14:textId="77777777" w:rsidR="00E559A1" w:rsidRDefault="00E559A1" w:rsidP="00D1490E">
      <w:pPr>
        <w:rPr>
          <w:rFonts w:cs="Arial"/>
          <w:szCs w:val="22"/>
        </w:rPr>
      </w:pPr>
    </w:p>
    <w:p w14:paraId="51705D98" w14:textId="4D3AE6DE" w:rsidR="00292C22" w:rsidRPr="003E7621" w:rsidRDefault="00292C22" w:rsidP="00D1490E">
      <w:pPr>
        <w:rPr>
          <w:rFonts w:cs="Arial"/>
          <w:szCs w:val="22"/>
        </w:rPr>
      </w:pPr>
      <w:r>
        <w:rPr>
          <w:rFonts w:cs="Arial"/>
          <w:szCs w:val="22"/>
        </w:rPr>
        <w:t>While</w:t>
      </w:r>
      <w:r w:rsidRPr="003E7621">
        <w:rPr>
          <w:rFonts w:cs="Arial"/>
          <w:szCs w:val="22"/>
        </w:rPr>
        <w:t xml:space="preserve"> </w:t>
      </w:r>
      <w:r w:rsidR="00D1490E">
        <w:rPr>
          <w:rFonts w:cs="Arial"/>
          <w:szCs w:val="22"/>
        </w:rPr>
        <w:t xml:space="preserve">the intent of </w:t>
      </w:r>
      <w:r w:rsidRPr="003E7621">
        <w:rPr>
          <w:rFonts w:cs="Arial"/>
          <w:szCs w:val="22"/>
        </w:rPr>
        <w:t>section 2.9.1—24</w:t>
      </w:r>
      <w:r>
        <w:rPr>
          <w:rFonts w:cs="Arial"/>
          <w:szCs w:val="22"/>
        </w:rPr>
        <w:t xml:space="preserve"> (Prohibited representations) i</w:t>
      </w:r>
      <w:r w:rsidR="00D1490E">
        <w:rPr>
          <w:rFonts w:cs="Arial"/>
          <w:szCs w:val="22"/>
        </w:rPr>
        <w:t xml:space="preserve">s </w:t>
      </w:r>
      <w:r w:rsidRPr="003E7621">
        <w:rPr>
          <w:rFonts w:cs="Arial"/>
          <w:szCs w:val="22"/>
        </w:rPr>
        <w:t xml:space="preserve">to prevent the use of such terms </w:t>
      </w:r>
      <w:r w:rsidR="00D1490E">
        <w:rPr>
          <w:rFonts w:cs="Arial"/>
          <w:szCs w:val="22"/>
        </w:rPr>
        <w:t>on infant formula product labels</w:t>
      </w:r>
      <w:r w:rsidRPr="003E7621">
        <w:rPr>
          <w:rFonts w:cs="Arial"/>
          <w:szCs w:val="22"/>
        </w:rPr>
        <w:t xml:space="preserve">, FSANZ considers </w:t>
      </w:r>
      <w:r w:rsidR="00D1490E">
        <w:rPr>
          <w:rFonts w:cs="Arial"/>
          <w:szCs w:val="22"/>
        </w:rPr>
        <w:t xml:space="preserve">the </w:t>
      </w:r>
      <w:r w:rsidRPr="003E7621">
        <w:rPr>
          <w:rFonts w:cs="Arial"/>
          <w:szCs w:val="22"/>
        </w:rPr>
        <w:t xml:space="preserve">prohibition </w:t>
      </w:r>
      <w:r>
        <w:rPr>
          <w:rFonts w:cs="Arial"/>
          <w:szCs w:val="22"/>
        </w:rPr>
        <w:t xml:space="preserve">clearly </w:t>
      </w:r>
      <w:r w:rsidRPr="003E7621">
        <w:rPr>
          <w:rFonts w:cs="Arial"/>
          <w:szCs w:val="22"/>
        </w:rPr>
        <w:t>communicate</w:t>
      </w:r>
      <w:r w:rsidR="00D1490E">
        <w:rPr>
          <w:rFonts w:cs="Arial"/>
          <w:szCs w:val="22"/>
        </w:rPr>
        <w:t>s</w:t>
      </w:r>
      <w:r w:rsidRPr="003E7621">
        <w:rPr>
          <w:rFonts w:cs="Arial"/>
          <w:szCs w:val="22"/>
        </w:rPr>
        <w:t xml:space="preserve"> that such terminology is inconsistent with the Ministerial Policy Guideline on the Regulation of Infant Formula Products</w:t>
      </w:r>
      <w:r w:rsidR="00D1490E">
        <w:rPr>
          <w:rFonts w:cs="Arial"/>
          <w:szCs w:val="22"/>
        </w:rPr>
        <w:t xml:space="preserve"> (</w:t>
      </w:r>
      <w:r w:rsidR="00F827DC">
        <w:rPr>
          <w:rFonts w:cs="Arial"/>
          <w:szCs w:val="22"/>
        </w:rPr>
        <w:t>P</w:t>
      </w:r>
      <w:r w:rsidR="00D1490E" w:rsidRPr="003E7621">
        <w:rPr>
          <w:rFonts w:cs="Arial"/>
          <w:szCs w:val="22"/>
        </w:rPr>
        <w:t xml:space="preserve">olicy </w:t>
      </w:r>
      <w:r w:rsidR="00F827DC">
        <w:rPr>
          <w:rFonts w:cs="Arial"/>
          <w:szCs w:val="22"/>
        </w:rPr>
        <w:t>P</w:t>
      </w:r>
      <w:r w:rsidR="00D1490E" w:rsidRPr="003E7621">
        <w:rPr>
          <w:rFonts w:cs="Arial"/>
          <w:szCs w:val="22"/>
        </w:rPr>
        <w:t xml:space="preserve">rinciple </w:t>
      </w:r>
      <w:r w:rsidR="00CA347D">
        <w:rPr>
          <w:rFonts w:cs="Arial"/>
          <w:szCs w:val="22"/>
        </w:rPr>
        <w:t>(</w:t>
      </w:r>
      <w:r w:rsidR="00D1490E" w:rsidRPr="00CA347D">
        <w:rPr>
          <w:rFonts w:cs="Arial"/>
          <w:i/>
          <w:szCs w:val="22"/>
        </w:rPr>
        <w:t>I</w:t>
      </w:r>
      <w:r w:rsidR="00CA347D">
        <w:rPr>
          <w:rFonts w:cs="Arial"/>
          <w:szCs w:val="22"/>
        </w:rPr>
        <w:t>)</w:t>
      </w:r>
      <w:r w:rsidR="00D1490E">
        <w:rPr>
          <w:rFonts w:cs="Arial"/>
          <w:szCs w:val="22"/>
        </w:rPr>
        <w:t>)</w:t>
      </w:r>
      <w:r w:rsidR="00D93BDC">
        <w:rPr>
          <w:rFonts w:cs="Arial"/>
          <w:szCs w:val="22"/>
        </w:rPr>
        <w:t xml:space="preserve">. </w:t>
      </w:r>
    </w:p>
    <w:p w14:paraId="1C5217BA" w14:textId="7061986B" w:rsidR="00292C22" w:rsidRDefault="00292C22" w:rsidP="00292C22">
      <w:pPr>
        <w:widowControl/>
        <w:rPr>
          <w:rFonts w:cs="Arial"/>
          <w:szCs w:val="22"/>
        </w:rPr>
      </w:pPr>
    </w:p>
    <w:p w14:paraId="0C3AB6DD" w14:textId="743EE7E3" w:rsidR="002D13A1" w:rsidRDefault="002D13A1" w:rsidP="002D13A1">
      <w:pPr>
        <w:widowControl/>
        <w:rPr>
          <w:rFonts w:cs="Arial"/>
          <w:szCs w:val="20"/>
        </w:rPr>
      </w:pPr>
      <w:r>
        <w:rPr>
          <w:rFonts w:cs="Arial"/>
          <w:szCs w:val="20"/>
        </w:rPr>
        <w:t xml:space="preserve">The restrictions: </w:t>
      </w:r>
    </w:p>
    <w:p w14:paraId="4385F9A7" w14:textId="77777777" w:rsidR="002D13A1" w:rsidRPr="00F85E47" w:rsidRDefault="002D13A1" w:rsidP="00D81E23">
      <w:pPr>
        <w:pStyle w:val="AARBullet"/>
        <w:rPr>
          <w:sz w:val="22"/>
          <w:szCs w:val="22"/>
        </w:rPr>
      </w:pPr>
      <w:r w:rsidRPr="00F85E47">
        <w:rPr>
          <w:sz w:val="22"/>
          <w:szCs w:val="22"/>
        </w:rPr>
        <w:t xml:space="preserve">are consistent with the World Health Organization International Code of Marketing of Breast Milk Substitutes as implemented in Australia and New Zealand  </w:t>
      </w:r>
    </w:p>
    <w:p w14:paraId="05C74C72" w14:textId="77777777" w:rsidR="002D13A1" w:rsidRPr="00F85E47" w:rsidRDefault="002D13A1" w:rsidP="00D81E23">
      <w:pPr>
        <w:pStyle w:val="AARBullet"/>
        <w:rPr>
          <w:sz w:val="22"/>
          <w:szCs w:val="22"/>
        </w:rPr>
      </w:pPr>
      <w:r w:rsidRPr="00F85E47">
        <w:rPr>
          <w:sz w:val="22"/>
          <w:szCs w:val="22"/>
        </w:rPr>
        <w:t xml:space="preserve">ensure that the products cannot be represented as an equivalent to, or better than, breast milk </w:t>
      </w:r>
    </w:p>
    <w:p w14:paraId="49CC5D8C" w14:textId="77777777" w:rsidR="002D13A1" w:rsidRPr="00F85E47" w:rsidRDefault="002D13A1" w:rsidP="00D81E23">
      <w:pPr>
        <w:pStyle w:val="AARBullet"/>
        <w:rPr>
          <w:sz w:val="22"/>
          <w:szCs w:val="22"/>
        </w:rPr>
      </w:pPr>
      <w:r w:rsidRPr="00F85E47">
        <w:rPr>
          <w:sz w:val="22"/>
          <w:szCs w:val="22"/>
        </w:rPr>
        <w:t xml:space="preserve">reinforce the prohibition on claims for infant formula products. </w:t>
      </w:r>
    </w:p>
    <w:p w14:paraId="7C64184C" w14:textId="28EF2D3A" w:rsidR="00F827DC" w:rsidRPr="00A710AC" w:rsidRDefault="00146ECA" w:rsidP="00A710AC">
      <w:pPr>
        <w:pStyle w:val="Heading5"/>
      </w:pPr>
      <w:r w:rsidRPr="00A710AC">
        <w:t>Formulated supplementary foods for young children</w:t>
      </w:r>
    </w:p>
    <w:p w14:paraId="7363B8AC" w14:textId="5540D0D4" w:rsidR="0070355E" w:rsidRPr="0070355E" w:rsidRDefault="000858FE" w:rsidP="00963FDE">
      <w:pPr>
        <w:widowControl/>
        <w:rPr>
          <w:rFonts w:cs="Arial"/>
          <w:szCs w:val="22"/>
        </w:rPr>
      </w:pPr>
      <w:r>
        <w:rPr>
          <w:rFonts w:cs="Arial"/>
          <w:szCs w:val="22"/>
        </w:rPr>
        <w:t>In the 2</w:t>
      </w:r>
      <w:r w:rsidRPr="0070355E">
        <w:rPr>
          <w:rFonts w:cs="Arial"/>
          <w:szCs w:val="22"/>
          <w:vertAlign w:val="superscript"/>
        </w:rPr>
        <w:t>nd</w:t>
      </w:r>
      <w:r>
        <w:rPr>
          <w:rFonts w:cs="Arial"/>
          <w:szCs w:val="22"/>
        </w:rPr>
        <w:t xml:space="preserve"> Call for Submissions, FSANZ</w:t>
      </w:r>
      <w:r w:rsidR="0070355E">
        <w:rPr>
          <w:rFonts w:cs="Arial"/>
          <w:szCs w:val="22"/>
        </w:rPr>
        <w:t xml:space="preserve"> proposed to </w:t>
      </w:r>
      <w:r w:rsidR="00963FDE">
        <w:rPr>
          <w:rFonts w:cs="Arial"/>
          <w:szCs w:val="22"/>
        </w:rPr>
        <w:t xml:space="preserve">permit the use of </w:t>
      </w:r>
      <w:r w:rsidR="006C3ADC" w:rsidRPr="007F4644">
        <w:t>2</w:t>
      </w:r>
      <w:r w:rsidR="006C3ADC">
        <w:t>′</w:t>
      </w:r>
      <w:r w:rsidR="006C3ADC" w:rsidRPr="007F4644">
        <w:t>-FL and LNnT</w:t>
      </w:r>
      <w:r w:rsidR="006C3ADC">
        <w:rPr>
          <w:rFonts w:cs="Arial"/>
          <w:szCs w:val="22"/>
        </w:rPr>
        <w:t xml:space="preserve"> </w:t>
      </w:r>
      <w:r w:rsidR="00963FDE">
        <w:rPr>
          <w:rFonts w:cs="Arial"/>
          <w:szCs w:val="22"/>
        </w:rPr>
        <w:t xml:space="preserve">in FSFYC </w:t>
      </w:r>
      <w:r w:rsidR="006C3ADC">
        <w:rPr>
          <w:rFonts w:cs="Arial"/>
          <w:szCs w:val="22"/>
        </w:rPr>
        <w:t xml:space="preserve">on the condition that the terminology </w:t>
      </w:r>
      <w:r w:rsidR="006C3ADC" w:rsidRPr="003E7621">
        <w:rPr>
          <w:rFonts w:cs="Arial"/>
          <w:szCs w:val="22"/>
        </w:rPr>
        <w:t xml:space="preserve">‘human milk identical oligosaccharide’, ‘human milk oligosaccharide’, ‘HiMO’ or ‘HMO’ (or words or abbreviations of similar effect) </w:t>
      </w:r>
      <w:r w:rsidR="006C3ADC">
        <w:rPr>
          <w:rFonts w:cs="Arial"/>
          <w:szCs w:val="22"/>
        </w:rPr>
        <w:t>is prohibited on FSFYC</w:t>
      </w:r>
      <w:r w:rsidR="0070355E">
        <w:rPr>
          <w:rFonts w:cs="Arial"/>
          <w:szCs w:val="22"/>
        </w:rPr>
        <w:t xml:space="preserve"> labels</w:t>
      </w:r>
      <w:r w:rsidR="00963FDE">
        <w:rPr>
          <w:rFonts w:cs="Arial"/>
          <w:szCs w:val="22"/>
        </w:rPr>
        <w:t xml:space="preserve">. </w:t>
      </w:r>
      <w:r w:rsidR="00963FDE" w:rsidRPr="0070355E">
        <w:rPr>
          <w:rFonts w:cs="Arial"/>
          <w:szCs w:val="22"/>
        </w:rPr>
        <w:t>This approach was based on consumer evidence</w:t>
      </w:r>
      <w:r w:rsidR="0070355E" w:rsidRPr="0070355E">
        <w:rPr>
          <w:rFonts w:cs="Arial"/>
          <w:szCs w:val="22"/>
        </w:rPr>
        <w:t>, specifically:</w:t>
      </w:r>
    </w:p>
    <w:p w14:paraId="7B281131" w14:textId="77777777" w:rsidR="0070355E" w:rsidRPr="00CE2E65" w:rsidRDefault="0070355E" w:rsidP="0070355E">
      <w:pPr>
        <w:pStyle w:val="AARBullet"/>
        <w:rPr>
          <w:sz w:val="22"/>
          <w:szCs w:val="22"/>
        </w:rPr>
      </w:pPr>
      <w:r w:rsidRPr="00CE2E65">
        <w:rPr>
          <w:sz w:val="22"/>
          <w:szCs w:val="22"/>
        </w:rPr>
        <w:t xml:space="preserve">potential confusion for consumers if the terms are present on FSFYC labels but are not present on the labels of infant formula products </w:t>
      </w:r>
    </w:p>
    <w:p w14:paraId="4B286E99" w14:textId="4F9B0E1C" w:rsidR="0070355E" w:rsidRPr="00CE2E65" w:rsidRDefault="0070355E" w:rsidP="0070355E">
      <w:pPr>
        <w:pStyle w:val="AARBullet"/>
        <w:rPr>
          <w:sz w:val="22"/>
          <w:szCs w:val="22"/>
        </w:rPr>
      </w:pPr>
      <w:r w:rsidRPr="00CE2E65">
        <w:rPr>
          <w:sz w:val="22"/>
          <w:szCs w:val="22"/>
        </w:rPr>
        <w:t xml:space="preserve">the potential for consumers to be misled, whereby the presence of these terms on FSFYC labels may infer FSFYC is intended for infant consumption (FSFYC are not considered </w:t>
      </w:r>
      <w:r w:rsidR="00A9269B">
        <w:rPr>
          <w:sz w:val="22"/>
          <w:szCs w:val="22"/>
        </w:rPr>
        <w:t>breast milk</w:t>
      </w:r>
      <w:r w:rsidRPr="00CE2E65">
        <w:rPr>
          <w:sz w:val="22"/>
          <w:szCs w:val="22"/>
        </w:rPr>
        <w:t xml:space="preserve"> substitutes in Australia and New Zealand) </w:t>
      </w:r>
    </w:p>
    <w:p w14:paraId="6927CFB4" w14:textId="06AD827A" w:rsidR="0070355E" w:rsidRPr="00CE2E65" w:rsidRDefault="0070355E" w:rsidP="0070355E">
      <w:pPr>
        <w:pStyle w:val="AARBullet"/>
        <w:rPr>
          <w:sz w:val="22"/>
          <w:szCs w:val="22"/>
        </w:rPr>
      </w:pPr>
      <w:r w:rsidRPr="00CE2E65">
        <w:rPr>
          <w:sz w:val="22"/>
          <w:szCs w:val="22"/>
        </w:rPr>
        <w:t xml:space="preserve">some evidence that caregivers interpret references to </w:t>
      </w:r>
      <w:r w:rsidR="00A9269B">
        <w:rPr>
          <w:sz w:val="22"/>
          <w:szCs w:val="22"/>
        </w:rPr>
        <w:t>breast milk</w:t>
      </w:r>
      <w:r w:rsidRPr="00CE2E65">
        <w:rPr>
          <w:sz w:val="22"/>
          <w:szCs w:val="22"/>
        </w:rPr>
        <w:t xml:space="preserve"> on infant formula products as an indication those particular products are closer in composition to </w:t>
      </w:r>
      <w:r w:rsidR="00A9269B">
        <w:rPr>
          <w:sz w:val="22"/>
          <w:szCs w:val="22"/>
        </w:rPr>
        <w:t>breast milk</w:t>
      </w:r>
      <w:r w:rsidRPr="00CE2E65">
        <w:rPr>
          <w:sz w:val="22"/>
          <w:szCs w:val="22"/>
        </w:rPr>
        <w:t xml:space="preserve"> than other brands</w:t>
      </w:r>
    </w:p>
    <w:p w14:paraId="37580A5A" w14:textId="77777777" w:rsidR="0070355E" w:rsidRPr="00CE2E65" w:rsidRDefault="0070355E" w:rsidP="0070355E">
      <w:pPr>
        <w:pStyle w:val="AARBullet"/>
        <w:rPr>
          <w:sz w:val="22"/>
          <w:szCs w:val="22"/>
        </w:rPr>
      </w:pPr>
      <w:r w:rsidRPr="00CE2E65">
        <w:rPr>
          <w:sz w:val="22"/>
          <w:szCs w:val="22"/>
        </w:rPr>
        <w:t>research suggests that when caregivers are shown toddler milk advertisements they believe they are also advertising infant formula products</w:t>
      </w:r>
    </w:p>
    <w:p w14:paraId="4791EFFE" w14:textId="77777777" w:rsidR="0070355E" w:rsidRPr="00CE2E65" w:rsidRDefault="0070355E" w:rsidP="0070355E">
      <w:pPr>
        <w:pStyle w:val="AARBullet"/>
        <w:rPr>
          <w:sz w:val="22"/>
          <w:szCs w:val="22"/>
        </w:rPr>
      </w:pPr>
      <w:r w:rsidRPr="00CE2E65">
        <w:rPr>
          <w:sz w:val="22"/>
          <w:szCs w:val="22"/>
        </w:rPr>
        <w:t>concern is that caregivers may see a reference to ‘human milk identical oligosaccharide’ on a toddler milk but believe they saw the phrase on an infant formula product.</w:t>
      </w:r>
    </w:p>
    <w:p w14:paraId="1965784A" w14:textId="77777777" w:rsidR="0070355E" w:rsidRPr="0070355E" w:rsidRDefault="0070355E" w:rsidP="00963FDE">
      <w:pPr>
        <w:widowControl/>
        <w:rPr>
          <w:rFonts w:cs="Arial"/>
          <w:szCs w:val="22"/>
        </w:rPr>
      </w:pPr>
    </w:p>
    <w:p w14:paraId="4672C324" w14:textId="686AB142" w:rsidR="0070355E" w:rsidRDefault="0070355E" w:rsidP="00292C22">
      <w:pPr>
        <w:widowControl/>
        <w:rPr>
          <w:rFonts w:cs="Arial"/>
          <w:szCs w:val="22"/>
        </w:rPr>
      </w:pPr>
      <w:r>
        <w:rPr>
          <w:rFonts w:cs="Arial"/>
          <w:szCs w:val="22"/>
        </w:rPr>
        <w:t xml:space="preserve">FSANZ also noted </w:t>
      </w:r>
      <w:r w:rsidRPr="003E7621">
        <w:rPr>
          <w:lang w:bidi="ar-SA"/>
        </w:rPr>
        <w:t xml:space="preserve">that </w:t>
      </w:r>
      <w:r w:rsidR="00D22276">
        <w:rPr>
          <w:lang w:bidi="ar-SA"/>
        </w:rPr>
        <w:t xml:space="preserve">as </w:t>
      </w:r>
      <w:r w:rsidRPr="003E7621">
        <w:rPr>
          <w:lang w:bidi="ar-SA"/>
        </w:rPr>
        <w:t>section 2.9.1—24 prohibit</w:t>
      </w:r>
      <w:r>
        <w:rPr>
          <w:lang w:bidi="ar-SA"/>
        </w:rPr>
        <w:t xml:space="preserve">s terms </w:t>
      </w:r>
      <w:r w:rsidRPr="007B1767">
        <w:rPr>
          <w:i/>
          <w:lang w:bidi="ar-SA"/>
        </w:rPr>
        <w:t xml:space="preserve">‘humanised’ or ‘maternalised’ or any word or words having the same or similar effect and information relating to the nutritional content of human milk </w:t>
      </w:r>
      <w:r>
        <w:rPr>
          <w:lang w:bidi="ar-SA"/>
        </w:rPr>
        <w:t xml:space="preserve">on </w:t>
      </w:r>
      <w:r w:rsidRPr="003E7621">
        <w:rPr>
          <w:lang w:bidi="ar-SA"/>
        </w:rPr>
        <w:t xml:space="preserve">infant formula product labels, the presence of </w:t>
      </w:r>
      <w:r w:rsidR="00D22276">
        <w:rPr>
          <w:lang w:bidi="ar-SA"/>
        </w:rPr>
        <w:t xml:space="preserve">these </w:t>
      </w:r>
      <w:r w:rsidRPr="003E7621">
        <w:rPr>
          <w:lang w:bidi="ar-SA"/>
        </w:rPr>
        <w:t xml:space="preserve">terms on FSFYC could imply substantive equivalence with </w:t>
      </w:r>
      <w:r w:rsidR="00A9269B">
        <w:rPr>
          <w:lang w:bidi="ar-SA"/>
        </w:rPr>
        <w:t>breast milk</w:t>
      </w:r>
      <w:r w:rsidRPr="003E7621">
        <w:rPr>
          <w:lang w:bidi="ar-SA"/>
        </w:rPr>
        <w:t>.</w:t>
      </w:r>
      <w:r>
        <w:rPr>
          <w:lang w:bidi="ar-SA"/>
        </w:rPr>
        <w:t xml:space="preserve"> I</w:t>
      </w:r>
      <w:r w:rsidRPr="003E7621">
        <w:rPr>
          <w:lang w:bidi="ar-SA"/>
        </w:rPr>
        <w:t xml:space="preserve">dentifying ingredients on FSFYC labels using such terms is highly likely to have the same effect on consumer understanding as statements or claims that refer to </w:t>
      </w:r>
      <w:r w:rsidR="00A9269B">
        <w:rPr>
          <w:lang w:bidi="ar-SA"/>
        </w:rPr>
        <w:t>breast milk</w:t>
      </w:r>
      <w:r w:rsidRPr="003E7621">
        <w:rPr>
          <w:lang w:bidi="ar-SA"/>
        </w:rPr>
        <w:t>.</w:t>
      </w:r>
    </w:p>
    <w:p w14:paraId="0A3415F2" w14:textId="77777777" w:rsidR="00CE6C97" w:rsidRDefault="00CE6C97" w:rsidP="00292C22">
      <w:pPr>
        <w:widowControl/>
      </w:pPr>
    </w:p>
    <w:p w14:paraId="6EACFA13" w14:textId="72919011" w:rsidR="001D5915" w:rsidRDefault="00CE6C97" w:rsidP="00CE6C97">
      <w:pPr>
        <w:rPr>
          <w:szCs w:val="22"/>
        </w:rPr>
      </w:pPr>
      <w:r w:rsidRPr="00CE6C97">
        <w:rPr>
          <w:szCs w:val="22"/>
        </w:rPr>
        <w:t>Industry submi</w:t>
      </w:r>
      <w:r>
        <w:rPr>
          <w:szCs w:val="22"/>
        </w:rPr>
        <w:t>tters to the 2</w:t>
      </w:r>
      <w:r w:rsidRPr="00CE6C97">
        <w:rPr>
          <w:szCs w:val="22"/>
          <w:vertAlign w:val="superscript"/>
        </w:rPr>
        <w:t>nd</w:t>
      </w:r>
      <w:r>
        <w:rPr>
          <w:szCs w:val="22"/>
        </w:rPr>
        <w:t xml:space="preserve"> Call for Submissions </w:t>
      </w:r>
      <w:r w:rsidRPr="00CE6C97">
        <w:rPr>
          <w:szCs w:val="22"/>
        </w:rPr>
        <w:t xml:space="preserve">expressed </w:t>
      </w:r>
      <w:r>
        <w:rPr>
          <w:szCs w:val="22"/>
        </w:rPr>
        <w:t xml:space="preserve">concern </w:t>
      </w:r>
      <w:r w:rsidRPr="00CE6C97">
        <w:rPr>
          <w:szCs w:val="22"/>
        </w:rPr>
        <w:t xml:space="preserve">that </w:t>
      </w:r>
      <w:r w:rsidR="004639B4">
        <w:rPr>
          <w:szCs w:val="22"/>
        </w:rPr>
        <w:t xml:space="preserve">a </w:t>
      </w:r>
      <w:r w:rsidR="0070355E">
        <w:rPr>
          <w:szCs w:val="22"/>
        </w:rPr>
        <w:t>labelling</w:t>
      </w:r>
      <w:r w:rsidR="0070355E" w:rsidRPr="00CE6C97">
        <w:rPr>
          <w:szCs w:val="22"/>
        </w:rPr>
        <w:t xml:space="preserve"> </w:t>
      </w:r>
      <w:r w:rsidRPr="00270868">
        <w:rPr>
          <w:szCs w:val="22"/>
        </w:rPr>
        <w:t>restriction</w:t>
      </w:r>
      <w:r w:rsidRPr="00CE6C97">
        <w:rPr>
          <w:szCs w:val="22"/>
        </w:rPr>
        <w:t xml:space="preserve"> on </w:t>
      </w:r>
      <w:r w:rsidR="00CE2E65">
        <w:rPr>
          <w:szCs w:val="22"/>
        </w:rPr>
        <w:t xml:space="preserve">the </w:t>
      </w:r>
      <w:r w:rsidRPr="00CE6C97">
        <w:rPr>
          <w:szCs w:val="22"/>
        </w:rPr>
        <w:t xml:space="preserve">terms that can be used </w:t>
      </w:r>
      <w:r w:rsidR="00F85E47">
        <w:rPr>
          <w:szCs w:val="22"/>
        </w:rPr>
        <w:t>is</w:t>
      </w:r>
      <w:r w:rsidRPr="00CE6C97">
        <w:rPr>
          <w:szCs w:val="22"/>
        </w:rPr>
        <w:t xml:space="preserve"> </w:t>
      </w:r>
      <w:r>
        <w:rPr>
          <w:szCs w:val="22"/>
        </w:rPr>
        <w:t>in</w:t>
      </w:r>
      <w:r w:rsidRPr="00CE6C97">
        <w:rPr>
          <w:szCs w:val="22"/>
        </w:rPr>
        <w:t xml:space="preserve">consistent with the current </w:t>
      </w:r>
      <w:r w:rsidR="00F85E47">
        <w:rPr>
          <w:szCs w:val="22"/>
        </w:rPr>
        <w:t>Code</w:t>
      </w:r>
      <w:r w:rsidRPr="00270868">
        <w:rPr>
          <w:szCs w:val="22"/>
        </w:rPr>
        <w:t xml:space="preserve"> </w:t>
      </w:r>
      <w:r w:rsidRPr="00CE2E65">
        <w:rPr>
          <w:szCs w:val="22"/>
        </w:rPr>
        <w:t>approach</w:t>
      </w:r>
      <w:r w:rsidR="00CE2E65">
        <w:rPr>
          <w:szCs w:val="22"/>
        </w:rPr>
        <w:t xml:space="preserve"> that enables flexibility. </w:t>
      </w:r>
      <w:r w:rsidRPr="00CE6C97">
        <w:rPr>
          <w:szCs w:val="22"/>
        </w:rPr>
        <w:t>The</w:t>
      </w:r>
      <w:r>
        <w:rPr>
          <w:szCs w:val="22"/>
        </w:rPr>
        <w:t>se submitters</w:t>
      </w:r>
      <w:r w:rsidRPr="00CE6C97">
        <w:rPr>
          <w:szCs w:val="22"/>
        </w:rPr>
        <w:t xml:space="preserve"> also </w:t>
      </w:r>
      <w:r w:rsidRPr="00CE2E65">
        <w:rPr>
          <w:szCs w:val="22"/>
        </w:rPr>
        <w:t>consider</w:t>
      </w:r>
      <w:r w:rsidR="0070355E">
        <w:rPr>
          <w:szCs w:val="22"/>
        </w:rPr>
        <w:t>ed</w:t>
      </w:r>
      <w:r w:rsidRPr="00CE6C97">
        <w:rPr>
          <w:szCs w:val="22"/>
        </w:rPr>
        <w:t xml:space="preserve"> the </w:t>
      </w:r>
      <w:r w:rsidR="00CE2E65">
        <w:rPr>
          <w:szCs w:val="22"/>
        </w:rPr>
        <w:t xml:space="preserve">restricted </w:t>
      </w:r>
      <w:r w:rsidRPr="00CE6C97">
        <w:rPr>
          <w:szCs w:val="22"/>
        </w:rPr>
        <w:t xml:space="preserve">approach </w:t>
      </w:r>
      <w:r w:rsidR="00CE2E65">
        <w:rPr>
          <w:szCs w:val="22"/>
        </w:rPr>
        <w:t xml:space="preserve">for </w:t>
      </w:r>
      <w:r w:rsidR="00CE2E65" w:rsidRPr="00CE2E65">
        <w:rPr>
          <w:szCs w:val="22"/>
        </w:rPr>
        <w:t xml:space="preserve">2′-FL and LNnT </w:t>
      </w:r>
      <w:r w:rsidRPr="00CE6C97">
        <w:rPr>
          <w:szCs w:val="22"/>
        </w:rPr>
        <w:t>is setting a new policy direction</w:t>
      </w:r>
      <w:r w:rsidRPr="00022C47">
        <w:rPr>
          <w:i/>
          <w:szCs w:val="22"/>
        </w:rPr>
        <w:t>.</w:t>
      </w:r>
      <w:r>
        <w:rPr>
          <w:szCs w:val="22"/>
        </w:rPr>
        <w:t xml:space="preserve"> </w:t>
      </w:r>
      <w:r w:rsidR="0070355E">
        <w:rPr>
          <w:szCs w:val="22"/>
        </w:rPr>
        <w:t>However, FSANZ notes t</w:t>
      </w:r>
      <w:r w:rsidRPr="007313CD">
        <w:rPr>
          <w:szCs w:val="22"/>
        </w:rPr>
        <w:t>h</w:t>
      </w:r>
      <w:r w:rsidR="00CE2E65">
        <w:rPr>
          <w:szCs w:val="22"/>
        </w:rPr>
        <w:t>e Code already contains examples of limit</w:t>
      </w:r>
      <w:r w:rsidR="00D81E23">
        <w:rPr>
          <w:szCs w:val="22"/>
        </w:rPr>
        <w:t xml:space="preserve">ations </w:t>
      </w:r>
      <w:r w:rsidR="00CE2E65">
        <w:rPr>
          <w:szCs w:val="22"/>
        </w:rPr>
        <w:t xml:space="preserve">placed on </w:t>
      </w:r>
      <w:r w:rsidRPr="007313CD">
        <w:rPr>
          <w:szCs w:val="22"/>
        </w:rPr>
        <w:t xml:space="preserve">voluntary representations </w:t>
      </w:r>
      <w:r w:rsidR="00CE2E65">
        <w:rPr>
          <w:szCs w:val="22"/>
        </w:rPr>
        <w:t xml:space="preserve">(for example, </w:t>
      </w:r>
      <w:r w:rsidR="008347A6">
        <w:rPr>
          <w:szCs w:val="22"/>
        </w:rPr>
        <w:t xml:space="preserve">restrictions on representations of low alcohol, of the words ‘non-intoxicating’ and that a food containing alcohol is non-alcoholic). </w:t>
      </w:r>
      <w:r w:rsidRPr="007313CD">
        <w:rPr>
          <w:szCs w:val="22"/>
        </w:rPr>
        <w:t>These restrictions are in place to reduce the risk of misleading consumers. When assessing ‘risk’ FSANZ considers the potential for risk as well as the evidence for risk in the context of the current environment, situation and relevant issues</w:t>
      </w:r>
      <w:r>
        <w:rPr>
          <w:szCs w:val="22"/>
        </w:rPr>
        <w:t xml:space="preserve"> including possible effects on consumers and the community.</w:t>
      </w:r>
      <w:r w:rsidR="00A9269B">
        <w:rPr>
          <w:szCs w:val="22"/>
        </w:rPr>
        <w:t xml:space="preserve"> FSANZ also notes that </w:t>
      </w:r>
      <w:r w:rsidR="00A9269B">
        <w:rPr>
          <w:rFonts w:cs="Arial"/>
          <w:szCs w:val="22"/>
        </w:rPr>
        <w:t xml:space="preserve">the approach provides flexibility as the options include use of the full chemical name, </w:t>
      </w:r>
      <w:r w:rsidR="00A9269B" w:rsidRPr="00F827DC">
        <w:rPr>
          <w:rFonts w:cs="Arial"/>
          <w:szCs w:val="22"/>
        </w:rPr>
        <w:t xml:space="preserve">the abbreviated chemical name/acronym or the generic term </w:t>
      </w:r>
      <w:r w:rsidR="00A9269B">
        <w:rPr>
          <w:rFonts w:cs="Arial"/>
          <w:szCs w:val="22"/>
        </w:rPr>
        <w:t>‘</w:t>
      </w:r>
      <w:r w:rsidR="00A9269B" w:rsidRPr="00F827DC">
        <w:rPr>
          <w:rFonts w:cs="Arial"/>
          <w:szCs w:val="22"/>
        </w:rPr>
        <w:t>oligosaccharides</w:t>
      </w:r>
      <w:r w:rsidR="00A9269B">
        <w:rPr>
          <w:rFonts w:cs="Arial"/>
          <w:szCs w:val="22"/>
        </w:rPr>
        <w:t xml:space="preserve">’. </w:t>
      </w:r>
    </w:p>
    <w:p w14:paraId="23DFFCE6" w14:textId="2FC37FA3" w:rsidR="006278F4" w:rsidRPr="0065753B" w:rsidRDefault="0065753B" w:rsidP="0065753B">
      <w:pPr>
        <w:pStyle w:val="Heading5"/>
      </w:pPr>
      <w:r>
        <w:t>Additional c</w:t>
      </w:r>
      <w:r w:rsidR="006C3ADC" w:rsidRPr="0065753B">
        <w:t>onsumer e</w:t>
      </w:r>
      <w:r w:rsidR="006278F4" w:rsidRPr="0065753B">
        <w:t xml:space="preserve">vidence </w:t>
      </w:r>
      <w:r w:rsidR="00C24ED4" w:rsidRPr="0065753B">
        <w:t>considered by FSANZ</w:t>
      </w:r>
      <w:r w:rsidR="006278F4" w:rsidRPr="0065753B">
        <w:t xml:space="preserve"> </w:t>
      </w:r>
    </w:p>
    <w:p w14:paraId="31445FE3" w14:textId="41D5B9B2" w:rsidR="00C874F7" w:rsidRDefault="00AC378F" w:rsidP="00AC378F">
      <w:pPr>
        <w:rPr>
          <w:rFonts w:ascii="AdvOT777cf4fb" w:hAnsi="AdvOT777cf4fb" w:cs="AdvOT777cf4fb"/>
          <w:sz w:val="19"/>
          <w:szCs w:val="19"/>
          <w:lang w:eastAsia="en-GB" w:bidi="ar-SA"/>
        </w:rPr>
      </w:pPr>
      <w:r>
        <w:rPr>
          <w:lang w:bidi="ar-SA"/>
        </w:rPr>
        <w:t>As previously noted by FSANZ there is some r</w:t>
      </w:r>
      <w:r w:rsidR="00292C22" w:rsidRPr="003E7621">
        <w:rPr>
          <w:lang w:bidi="ar-SA"/>
        </w:rPr>
        <w:t>esearch</w:t>
      </w:r>
      <w:r>
        <w:rPr>
          <w:lang w:bidi="ar-SA"/>
        </w:rPr>
        <w:t xml:space="preserve"> </w:t>
      </w:r>
      <w:r w:rsidR="00292C22">
        <w:rPr>
          <w:lang w:bidi="ar-SA"/>
        </w:rPr>
        <w:t>indicat</w:t>
      </w:r>
      <w:r w:rsidR="002F209B">
        <w:rPr>
          <w:lang w:bidi="ar-SA"/>
        </w:rPr>
        <w:t>ing</w:t>
      </w:r>
      <w:r w:rsidR="00292C22" w:rsidRPr="003E7621">
        <w:rPr>
          <w:lang w:bidi="ar-SA"/>
        </w:rPr>
        <w:t xml:space="preserve"> caregivers</w:t>
      </w:r>
      <w:r w:rsidR="00292C22">
        <w:rPr>
          <w:lang w:bidi="ar-SA"/>
        </w:rPr>
        <w:t xml:space="preserve"> may interpret references about</w:t>
      </w:r>
      <w:r w:rsidR="00292C22" w:rsidRPr="003E7621">
        <w:rPr>
          <w:lang w:bidi="ar-SA"/>
        </w:rPr>
        <w:t xml:space="preserve"> </w:t>
      </w:r>
      <w:r w:rsidR="00A9269B">
        <w:rPr>
          <w:lang w:bidi="ar-SA"/>
        </w:rPr>
        <w:t>breast milk</w:t>
      </w:r>
      <w:r w:rsidR="00292C22" w:rsidRPr="003E7621">
        <w:rPr>
          <w:lang w:bidi="ar-SA"/>
        </w:rPr>
        <w:t xml:space="preserve"> on infant formula as</w:t>
      </w:r>
      <w:r w:rsidR="00292C22">
        <w:rPr>
          <w:lang w:bidi="ar-SA"/>
        </w:rPr>
        <w:t xml:space="preserve"> suggesting those products are close in composition to </w:t>
      </w:r>
      <w:r w:rsidR="00A9269B">
        <w:rPr>
          <w:lang w:bidi="ar-SA"/>
        </w:rPr>
        <w:t>breast milk</w:t>
      </w:r>
      <w:r w:rsidR="00292C22">
        <w:rPr>
          <w:lang w:bidi="ar-SA"/>
        </w:rPr>
        <w:t xml:space="preserve"> </w:t>
      </w:r>
      <w:r w:rsidR="00292C22" w:rsidRPr="003E7621">
        <w:rPr>
          <w:lang w:bidi="ar-SA"/>
        </w:rPr>
        <w:t>(Malek et al. 2019</w:t>
      </w:r>
      <w:r w:rsidR="00C4346C">
        <w:rPr>
          <w:lang w:bidi="ar-SA"/>
        </w:rPr>
        <w:t>; Parry et al 2013</w:t>
      </w:r>
      <w:r w:rsidR="00292C22" w:rsidRPr="003E7621">
        <w:rPr>
          <w:lang w:bidi="ar-SA"/>
        </w:rPr>
        <w:t>)</w:t>
      </w:r>
      <w:r w:rsidR="00D93BDC">
        <w:rPr>
          <w:lang w:bidi="ar-SA"/>
        </w:rPr>
        <w:t xml:space="preserve">. </w:t>
      </w:r>
    </w:p>
    <w:p w14:paraId="3CC4385C" w14:textId="4B74831A" w:rsidR="00C874F7" w:rsidRDefault="00C874F7" w:rsidP="00292C22">
      <w:pPr>
        <w:rPr>
          <w:lang w:bidi="ar-SA"/>
        </w:rPr>
      </w:pPr>
    </w:p>
    <w:p w14:paraId="4232417B" w14:textId="1D4C8539" w:rsidR="00292C22" w:rsidRPr="004D4AD9" w:rsidRDefault="00292C22" w:rsidP="00387107">
      <w:pPr>
        <w:keepNext/>
        <w:keepLines/>
        <w:rPr>
          <w:rFonts w:cs="Arial"/>
          <w:szCs w:val="22"/>
          <w:lang w:bidi="ar-SA"/>
        </w:rPr>
      </w:pPr>
      <w:r w:rsidRPr="003E7621">
        <w:rPr>
          <w:lang w:bidi="ar-SA"/>
        </w:rPr>
        <w:t xml:space="preserve">Research conducted </w:t>
      </w:r>
      <w:r>
        <w:rPr>
          <w:lang w:bidi="ar-SA"/>
        </w:rPr>
        <w:t>examining</w:t>
      </w:r>
      <w:r w:rsidRPr="003E7621">
        <w:rPr>
          <w:lang w:bidi="ar-SA"/>
        </w:rPr>
        <w:t xml:space="preserve"> advertisements for </w:t>
      </w:r>
      <w:r>
        <w:rPr>
          <w:lang w:bidi="ar-SA"/>
        </w:rPr>
        <w:t>FSFYC</w:t>
      </w:r>
      <w:r w:rsidRPr="003E7621">
        <w:rPr>
          <w:lang w:bidi="ar-SA"/>
        </w:rPr>
        <w:t xml:space="preserve"> has found similar responses</w:t>
      </w:r>
      <w:r>
        <w:rPr>
          <w:lang w:bidi="ar-SA"/>
        </w:rPr>
        <w:t xml:space="preserve"> concerning references to </w:t>
      </w:r>
      <w:r w:rsidR="00A9269B">
        <w:rPr>
          <w:lang w:bidi="ar-SA"/>
        </w:rPr>
        <w:t>breast milk</w:t>
      </w:r>
      <w:r>
        <w:rPr>
          <w:lang w:bidi="ar-SA"/>
        </w:rPr>
        <w:t xml:space="preserve">. Some consumers </w:t>
      </w:r>
      <w:r w:rsidRPr="003E7621">
        <w:rPr>
          <w:lang w:bidi="ar-SA"/>
        </w:rPr>
        <w:t xml:space="preserve">who saw a claim about prebiotics ‘found naturally in </w:t>
      </w:r>
      <w:r w:rsidR="00A9269B">
        <w:rPr>
          <w:lang w:bidi="ar-SA"/>
        </w:rPr>
        <w:t>breast milk</w:t>
      </w:r>
      <w:r w:rsidRPr="003E7621">
        <w:rPr>
          <w:lang w:bidi="ar-SA"/>
        </w:rPr>
        <w:t>’ next to a statement concerning the importance of breastfeeding, believed the advertisement suggested an equivalence b</w:t>
      </w:r>
      <w:r>
        <w:rPr>
          <w:lang w:bidi="ar-SA"/>
        </w:rPr>
        <w:t xml:space="preserve">etween ‘formula’ and </w:t>
      </w:r>
      <w:r w:rsidR="00A9269B">
        <w:rPr>
          <w:lang w:bidi="ar-SA"/>
        </w:rPr>
        <w:t>breast milk</w:t>
      </w:r>
      <w:r w:rsidRPr="003E7621">
        <w:rPr>
          <w:lang w:bidi="ar-SA"/>
        </w:rPr>
        <w:t xml:space="preserve"> (Berry, Jones &amp; Iverson, 2010).</w:t>
      </w:r>
      <w:r w:rsidR="004D4AD9">
        <w:rPr>
          <w:lang w:bidi="ar-SA"/>
        </w:rPr>
        <w:t xml:space="preserve"> </w:t>
      </w:r>
      <w:r w:rsidRPr="004D4AD9">
        <w:rPr>
          <w:rFonts w:cs="Arial"/>
          <w:szCs w:val="22"/>
          <w:lang w:bidi="ar-SA"/>
        </w:rPr>
        <w:t xml:space="preserve">This concern is relevant to FSFYC </w:t>
      </w:r>
      <w:r w:rsidR="003836BF" w:rsidRPr="004D4AD9">
        <w:rPr>
          <w:rFonts w:cs="Arial"/>
          <w:szCs w:val="22"/>
          <w:lang w:bidi="ar-SA"/>
        </w:rPr>
        <w:t xml:space="preserve">as </w:t>
      </w:r>
      <w:r w:rsidR="00DD4A73" w:rsidRPr="004D4AD9">
        <w:rPr>
          <w:rFonts w:cs="Arial"/>
          <w:szCs w:val="22"/>
          <w:lang w:bidi="ar-SA"/>
        </w:rPr>
        <w:t xml:space="preserve">the </w:t>
      </w:r>
      <w:r w:rsidR="0065753B">
        <w:rPr>
          <w:rFonts w:cs="Arial"/>
          <w:szCs w:val="22"/>
          <w:lang w:bidi="ar-SA"/>
        </w:rPr>
        <w:t xml:space="preserve">qualitative </w:t>
      </w:r>
      <w:r w:rsidR="008867F5" w:rsidRPr="004D4AD9">
        <w:rPr>
          <w:rFonts w:cs="Arial"/>
          <w:szCs w:val="22"/>
          <w:lang w:bidi="ar-SA"/>
        </w:rPr>
        <w:t>Australian</w:t>
      </w:r>
      <w:r w:rsidRPr="004D4AD9">
        <w:rPr>
          <w:rFonts w:cs="Arial"/>
          <w:szCs w:val="22"/>
          <w:lang w:bidi="ar-SA"/>
        </w:rPr>
        <w:t xml:space="preserve"> research suggests when </w:t>
      </w:r>
      <w:r w:rsidR="006278F4" w:rsidRPr="004D4AD9">
        <w:rPr>
          <w:rFonts w:cs="Arial"/>
          <w:szCs w:val="22"/>
          <w:lang w:bidi="ar-SA"/>
        </w:rPr>
        <w:t xml:space="preserve">pregnant women and </w:t>
      </w:r>
      <w:r w:rsidRPr="004D4AD9">
        <w:rPr>
          <w:rFonts w:cs="Arial"/>
          <w:szCs w:val="22"/>
          <w:lang w:bidi="ar-SA"/>
        </w:rPr>
        <w:t>caregivers are shown toddler milk advertisements</w:t>
      </w:r>
      <w:r w:rsidR="003D7E8A" w:rsidRPr="004D4AD9">
        <w:rPr>
          <w:rFonts w:cs="Arial"/>
          <w:szCs w:val="22"/>
          <w:lang w:bidi="ar-SA"/>
        </w:rPr>
        <w:t>,</w:t>
      </w:r>
      <w:r w:rsidRPr="004D4AD9">
        <w:rPr>
          <w:rFonts w:cs="Arial"/>
          <w:szCs w:val="22"/>
          <w:lang w:bidi="ar-SA"/>
        </w:rPr>
        <w:t xml:space="preserve"> they believe </w:t>
      </w:r>
      <w:r w:rsidR="003D7E8A" w:rsidRPr="004D4AD9">
        <w:rPr>
          <w:rFonts w:cs="Arial"/>
          <w:szCs w:val="22"/>
          <w:lang w:bidi="ar-SA"/>
        </w:rPr>
        <w:t>such adverts also advertise</w:t>
      </w:r>
      <w:r w:rsidRPr="004D4AD9">
        <w:rPr>
          <w:rFonts w:cs="Arial"/>
          <w:szCs w:val="22"/>
          <w:lang w:bidi="ar-SA"/>
        </w:rPr>
        <w:t xml:space="preserve"> infant</w:t>
      </w:r>
      <w:r w:rsidR="003D7E8A" w:rsidRPr="004D4AD9">
        <w:rPr>
          <w:rFonts w:cs="Arial"/>
          <w:szCs w:val="22"/>
          <w:lang w:bidi="ar-SA"/>
        </w:rPr>
        <w:t xml:space="preserve"> and follow-on</w:t>
      </w:r>
      <w:r w:rsidRPr="004D4AD9">
        <w:rPr>
          <w:rFonts w:cs="Arial"/>
          <w:szCs w:val="22"/>
          <w:lang w:bidi="ar-SA"/>
        </w:rPr>
        <w:t xml:space="preserve"> formula products (Berry, Jones &amp; Iverson, 2010, 2011, 2012</w:t>
      </w:r>
      <w:r w:rsidR="008867F5" w:rsidRPr="004D4AD9">
        <w:rPr>
          <w:rFonts w:cs="Arial"/>
          <w:szCs w:val="22"/>
          <w:lang w:bidi="ar-SA"/>
        </w:rPr>
        <w:t xml:space="preserve">). </w:t>
      </w:r>
      <w:r w:rsidRPr="004D4AD9">
        <w:rPr>
          <w:rFonts w:cs="Arial"/>
          <w:szCs w:val="22"/>
          <w:lang w:bidi="ar-SA"/>
        </w:rPr>
        <w:t>This is</w:t>
      </w:r>
      <w:r w:rsidR="003836BF" w:rsidRPr="004D4AD9">
        <w:rPr>
          <w:rFonts w:cs="Arial"/>
          <w:szCs w:val="22"/>
          <w:lang w:bidi="ar-SA"/>
        </w:rPr>
        <w:t xml:space="preserve"> </w:t>
      </w:r>
      <w:r w:rsidRPr="004D4AD9">
        <w:rPr>
          <w:rFonts w:cs="Arial"/>
          <w:szCs w:val="22"/>
          <w:lang w:bidi="ar-SA"/>
        </w:rPr>
        <w:t xml:space="preserve">partly </w:t>
      </w:r>
      <w:r w:rsidR="0065753B">
        <w:rPr>
          <w:rFonts w:cs="Arial"/>
          <w:szCs w:val="22"/>
          <w:lang w:bidi="ar-SA"/>
        </w:rPr>
        <w:t xml:space="preserve">attributed </w:t>
      </w:r>
      <w:r w:rsidRPr="004D4AD9">
        <w:rPr>
          <w:rFonts w:cs="Arial"/>
          <w:szCs w:val="22"/>
          <w:lang w:bidi="ar-SA"/>
        </w:rPr>
        <w:t xml:space="preserve">to similar packaging and common branding </w:t>
      </w:r>
      <w:r w:rsidR="003D7E8A" w:rsidRPr="004D4AD9">
        <w:rPr>
          <w:rFonts w:cs="Arial"/>
          <w:szCs w:val="22"/>
          <w:lang w:bidi="ar-SA"/>
        </w:rPr>
        <w:t>across</w:t>
      </w:r>
      <w:r w:rsidRPr="004D4AD9">
        <w:rPr>
          <w:rFonts w:cs="Arial"/>
          <w:szCs w:val="22"/>
          <w:lang w:bidi="ar-SA"/>
        </w:rPr>
        <w:t xml:space="preserve"> a product line</w:t>
      </w:r>
      <w:r w:rsidR="00CD7322" w:rsidRPr="004D4AD9">
        <w:rPr>
          <w:rFonts w:cs="Arial"/>
          <w:szCs w:val="22"/>
          <w:lang w:bidi="ar-SA"/>
        </w:rPr>
        <w:t>, as has been noted by researchers internationally</w:t>
      </w:r>
      <w:r w:rsidR="0027485F" w:rsidRPr="004D4AD9">
        <w:rPr>
          <w:rFonts w:cs="Arial"/>
          <w:szCs w:val="22"/>
          <w:lang w:bidi="ar-SA"/>
        </w:rPr>
        <w:t xml:space="preserve"> and within marketing literature</w:t>
      </w:r>
      <w:r w:rsidR="00CD7322" w:rsidRPr="004D4AD9">
        <w:rPr>
          <w:rFonts w:cs="Arial"/>
          <w:szCs w:val="22"/>
          <w:lang w:bidi="ar-SA"/>
        </w:rPr>
        <w:t xml:space="preserve"> (</w:t>
      </w:r>
      <w:r w:rsidR="00F05DF2" w:rsidRPr="004D4AD9">
        <w:rPr>
          <w:rFonts w:cs="Arial"/>
          <w:szCs w:val="22"/>
          <w:lang w:bidi="ar-SA"/>
        </w:rPr>
        <w:t xml:space="preserve">Food Standards Agency, 2010; </w:t>
      </w:r>
      <w:r w:rsidR="00CD7322" w:rsidRPr="004D4AD9">
        <w:rPr>
          <w:rFonts w:cs="Arial"/>
          <w:szCs w:val="22"/>
          <w:lang w:bidi="ar-SA"/>
        </w:rPr>
        <w:t xml:space="preserve">Pomerannz et al 2018; </w:t>
      </w:r>
      <w:r w:rsidR="00CD7322" w:rsidRPr="004D4AD9">
        <w:rPr>
          <w:rFonts w:cs="Arial"/>
          <w:szCs w:val="22"/>
          <w:lang w:eastAsia="en-GB" w:bidi="ar-SA"/>
        </w:rPr>
        <w:t>Champeny et al 201</w:t>
      </w:r>
      <w:r w:rsidR="00F05DF2" w:rsidRPr="004D4AD9">
        <w:rPr>
          <w:rFonts w:cs="Arial"/>
          <w:szCs w:val="22"/>
          <w:lang w:eastAsia="en-GB" w:bidi="ar-SA"/>
        </w:rPr>
        <w:t>9</w:t>
      </w:r>
      <w:r w:rsidR="00294265" w:rsidRPr="004D4AD9">
        <w:rPr>
          <w:rFonts w:cs="Arial"/>
          <w:szCs w:val="22"/>
          <w:lang w:eastAsia="en-GB" w:bidi="ar-SA"/>
        </w:rPr>
        <w:t>; Clifton, Simmons &amp; Ahmed, 2004</w:t>
      </w:r>
      <w:r w:rsidR="00CD7322" w:rsidRPr="004D4AD9">
        <w:rPr>
          <w:rFonts w:cs="Arial"/>
          <w:szCs w:val="22"/>
          <w:lang w:eastAsia="en-GB" w:bidi="ar-SA"/>
        </w:rPr>
        <w:t xml:space="preserve">). </w:t>
      </w:r>
    </w:p>
    <w:p w14:paraId="1254B2A0" w14:textId="77777777" w:rsidR="00BB62A4" w:rsidRPr="00CD7322" w:rsidRDefault="00BB62A4" w:rsidP="00CD7322"/>
    <w:p w14:paraId="1892B332" w14:textId="343EF69B" w:rsidR="0072323B" w:rsidRDefault="0072323B" w:rsidP="0072323B">
      <w:pPr>
        <w:rPr>
          <w:rFonts w:ascii="AdvOT777cf4fb" w:hAnsi="AdvOT777cf4fb" w:cs="AdvOT777cf4fb"/>
          <w:sz w:val="19"/>
          <w:szCs w:val="19"/>
          <w:lang w:eastAsia="en-GB" w:bidi="ar-SA"/>
        </w:rPr>
      </w:pPr>
      <w:r w:rsidRPr="00CD7322">
        <w:t xml:space="preserve">FSANZ acknowledges that there are limitations of qualitative research using focus groups. Their purpose is </w:t>
      </w:r>
      <w:r>
        <w:t xml:space="preserve">to </w:t>
      </w:r>
      <w:r w:rsidRPr="00CD7322">
        <w:t>understand and explain</w:t>
      </w:r>
      <w:r w:rsidR="006C008C">
        <w:t xml:space="preserve"> the breadth of caregiver perceptions</w:t>
      </w:r>
      <w:r>
        <w:t>,</w:t>
      </w:r>
      <w:r w:rsidRPr="00CD7322">
        <w:t xml:space="preserve"> rather than quantify</w:t>
      </w:r>
      <w:r>
        <w:t xml:space="preserve"> </w:t>
      </w:r>
      <w:r w:rsidR="0022094B">
        <w:t xml:space="preserve">the prevalence of these </w:t>
      </w:r>
      <w:r w:rsidRPr="00CD7322">
        <w:t>perceptions and behaviours. In the case of the</w:t>
      </w:r>
      <w:r>
        <w:t xml:space="preserve"> focus group</w:t>
      </w:r>
      <w:r w:rsidRPr="00CD7322">
        <w:t xml:space="preserve"> studies discussed above</w:t>
      </w:r>
      <w:r>
        <w:t>,</w:t>
      </w:r>
      <w:r w:rsidRPr="00CD7322">
        <w:t xml:space="preserve"> they offer</w:t>
      </w:r>
      <w:r>
        <w:t xml:space="preserve"> insight</w:t>
      </w:r>
      <w:r w:rsidRPr="00CD7322">
        <w:t xml:space="preserve"> an</w:t>
      </w:r>
      <w:r>
        <w:t>d</w:t>
      </w:r>
      <w:r w:rsidRPr="00CD7322">
        <w:t xml:space="preserve"> opportunity</w:t>
      </w:r>
      <w:r>
        <w:t xml:space="preserve"> to</w:t>
      </w:r>
      <w:r w:rsidRPr="00CD7322">
        <w:t xml:space="preserve"> explore </w:t>
      </w:r>
      <w:r>
        <w:t>consumer</w:t>
      </w:r>
      <w:r w:rsidRPr="00CD7322">
        <w:t xml:space="preserve"> reactions to particular product labels or advertising material</w:t>
      </w:r>
      <w:r w:rsidR="0022094B">
        <w:t xml:space="preserve"> across a diversity of research participants</w:t>
      </w:r>
      <w:r>
        <w:t xml:space="preserve">. </w:t>
      </w:r>
      <w:r w:rsidR="0022094B">
        <w:t>Accordingly</w:t>
      </w:r>
      <w:r>
        <w:t xml:space="preserve">, the focus group studies above contain heterogeneous </w:t>
      </w:r>
      <w:r w:rsidR="0022094B">
        <w:t xml:space="preserve">samples </w:t>
      </w:r>
      <w:r>
        <w:t xml:space="preserve">allowing for greater breadth </w:t>
      </w:r>
      <w:r w:rsidR="0022094B">
        <w:t xml:space="preserve">and depth </w:t>
      </w:r>
      <w:r>
        <w:t>of caregiver views and experiences</w:t>
      </w:r>
      <w:r w:rsidR="00443850">
        <w:t xml:space="preserve"> to be collected</w:t>
      </w:r>
      <w:r w:rsidR="00D93BDC">
        <w:t xml:space="preserve">. </w:t>
      </w:r>
    </w:p>
    <w:p w14:paraId="5B1194E2" w14:textId="77777777" w:rsidR="00CD4691" w:rsidRDefault="00CD4691" w:rsidP="0072323B">
      <w:pPr>
        <w:rPr>
          <w:lang w:bidi="ar-SA"/>
        </w:rPr>
      </w:pPr>
    </w:p>
    <w:p w14:paraId="056AE868" w14:textId="2AE8ACF2" w:rsidR="00E712DA" w:rsidRDefault="008867F5" w:rsidP="0072323B">
      <w:pPr>
        <w:rPr>
          <w:lang w:bidi="ar-SA"/>
        </w:rPr>
      </w:pPr>
      <w:r>
        <w:rPr>
          <w:lang w:bidi="ar-SA"/>
        </w:rPr>
        <w:t>The</w:t>
      </w:r>
      <w:r w:rsidR="00CD7322">
        <w:rPr>
          <w:lang w:bidi="ar-SA"/>
        </w:rPr>
        <w:t xml:space="preserve"> findings from qualitative studies are</w:t>
      </w:r>
      <w:r w:rsidR="009C013F">
        <w:rPr>
          <w:lang w:bidi="ar-SA"/>
        </w:rPr>
        <w:t xml:space="preserve"> supported by international research. </w:t>
      </w:r>
      <w:r w:rsidR="00503B82">
        <w:rPr>
          <w:lang w:bidi="ar-SA"/>
        </w:rPr>
        <w:t>Studies in Hong Kong and Italy examining recent or expecting mothers</w:t>
      </w:r>
      <w:r w:rsidR="009C013F">
        <w:rPr>
          <w:lang w:bidi="ar-SA"/>
        </w:rPr>
        <w:t>’</w:t>
      </w:r>
      <w:r w:rsidR="00503B82">
        <w:rPr>
          <w:lang w:bidi="ar-SA"/>
        </w:rPr>
        <w:t xml:space="preserve"> interpretations of toddler milk advertising </w:t>
      </w:r>
      <w:r w:rsidR="003D7E8A">
        <w:rPr>
          <w:lang w:bidi="ar-SA"/>
        </w:rPr>
        <w:t>found</w:t>
      </w:r>
      <w:r w:rsidR="00DB34E5">
        <w:rPr>
          <w:lang w:bidi="ar-SA"/>
        </w:rPr>
        <w:t xml:space="preserve"> that marketed FSFYC products are perceived as being infant</w:t>
      </w:r>
      <w:r w:rsidR="00FB43C8">
        <w:rPr>
          <w:lang w:bidi="ar-SA"/>
        </w:rPr>
        <w:t xml:space="preserve"> and follow-on</w:t>
      </w:r>
      <w:r w:rsidR="00DB34E5">
        <w:rPr>
          <w:lang w:bidi="ar-SA"/>
        </w:rPr>
        <w:t xml:space="preserve"> formula products </w:t>
      </w:r>
      <w:r w:rsidR="009C013F">
        <w:rPr>
          <w:lang w:bidi="ar-SA"/>
        </w:rPr>
        <w:t>(Department of Hong Kong SAR Government, 2013, Cattaneo et al,</w:t>
      </w:r>
      <w:r w:rsidR="009C013F" w:rsidRPr="008867F5">
        <w:rPr>
          <w:lang w:bidi="ar-SA"/>
        </w:rPr>
        <w:t xml:space="preserve"> </w:t>
      </w:r>
      <w:r w:rsidR="009C013F">
        <w:rPr>
          <w:lang w:bidi="ar-SA"/>
        </w:rPr>
        <w:t>2014</w:t>
      </w:r>
      <w:r w:rsidR="009C013F" w:rsidRPr="003E7621">
        <w:rPr>
          <w:lang w:bidi="ar-SA"/>
        </w:rPr>
        <w:t>)</w:t>
      </w:r>
      <w:r w:rsidR="009C013F">
        <w:rPr>
          <w:lang w:bidi="ar-SA"/>
        </w:rPr>
        <w:t xml:space="preserve">. </w:t>
      </w:r>
      <w:r w:rsidR="00BD0CC1">
        <w:rPr>
          <w:lang w:bidi="ar-SA"/>
        </w:rPr>
        <w:t xml:space="preserve">Of note, in Italy where the advertisement of infant formula is strictly prohibited, only 17 out of 455 mothers reported they had never seen an advertisement </w:t>
      </w:r>
      <w:r w:rsidR="00F21AC7">
        <w:rPr>
          <w:lang w:bidi="ar-SA"/>
        </w:rPr>
        <w:t xml:space="preserve">for six infant formula products presented to them in a survey. </w:t>
      </w:r>
      <w:r w:rsidR="007B1767">
        <w:rPr>
          <w:lang w:bidi="ar-SA"/>
        </w:rPr>
        <w:t xml:space="preserve">Two hundred and ninety seven </w:t>
      </w:r>
      <w:r w:rsidR="00F21AC7">
        <w:rPr>
          <w:lang w:bidi="ar-SA"/>
        </w:rPr>
        <w:t xml:space="preserve">of the mothers who had reported seeing an advert for a formula product believed it advertised a product to be used from birth (infant formula). The finding suggests that advertising of later stage formula products </w:t>
      </w:r>
      <w:r w:rsidR="00443850">
        <w:rPr>
          <w:lang w:bidi="ar-SA"/>
        </w:rPr>
        <w:t>may be perceived as infant formula by</w:t>
      </w:r>
      <w:r w:rsidR="00F21AC7">
        <w:rPr>
          <w:lang w:bidi="ar-SA"/>
        </w:rPr>
        <w:t xml:space="preserve"> users of formula products</w:t>
      </w:r>
      <w:r w:rsidR="00D93BDC">
        <w:rPr>
          <w:lang w:bidi="ar-SA"/>
        </w:rPr>
        <w:t xml:space="preserve">. </w:t>
      </w:r>
    </w:p>
    <w:p w14:paraId="02BC09F3" w14:textId="77777777" w:rsidR="00E712DA" w:rsidRDefault="00E712DA" w:rsidP="00292C22">
      <w:pPr>
        <w:rPr>
          <w:lang w:bidi="ar-SA"/>
        </w:rPr>
      </w:pPr>
    </w:p>
    <w:p w14:paraId="2A8C4F47" w14:textId="7E543D32" w:rsidR="00292C22" w:rsidRPr="003E7621" w:rsidRDefault="00292C22" w:rsidP="00292C22">
      <w:pPr>
        <w:rPr>
          <w:lang w:bidi="ar-SA"/>
        </w:rPr>
      </w:pPr>
      <w:r w:rsidRPr="003E7621">
        <w:rPr>
          <w:lang w:bidi="ar-SA"/>
        </w:rPr>
        <w:t xml:space="preserve">The implication of this is that where </w:t>
      </w:r>
      <w:r>
        <w:rPr>
          <w:lang w:bidi="ar-SA"/>
        </w:rPr>
        <w:t>FS</w:t>
      </w:r>
      <w:r w:rsidR="00883E10">
        <w:rPr>
          <w:lang w:bidi="ar-SA"/>
        </w:rPr>
        <w:t>F</w:t>
      </w:r>
      <w:r>
        <w:rPr>
          <w:lang w:bidi="ar-SA"/>
        </w:rPr>
        <w:t>YC</w:t>
      </w:r>
      <w:r w:rsidRPr="003E7621">
        <w:rPr>
          <w:lang w:bidi="ar-SA"/>
        </w:rPr>
        <w:t xml:space="preserve"> product</w:t>
      </w:r>
      <w:r w:rsidR="009D3BFA">
        <w:rPr>
          <w:lang w:bidi="ar-SA"/>
        </w:rPr>
        <w:t xml:space="preserve"> label</w:t>
      </w:r>
      <w:r>
        <w:rPr>
          <w:lang w:bidi="ar-SA"/>
        </w:rPr>
        <w:t>s carry</w:t>
      </w:r>
      <w:r w:rsidRPr="003E7621">
        <w:rPr>
          <w:lang w:bidi="ar-SA"/>
        </w:rPr>
        <w:t xml:space="preserve"> reference</w:t>
      </w:r>
      <w:r>
        <w:rPr>
          <w:lang w:bidi="ar-SA"/>
        </w:rPr>
        <w:t>s</w:t>
      </w:r>
      <w:r w:rsidRPr="003E7621">
        <w:rPr>
          <w:lang w:bidi="ar-SA"/>
        </w:rPr>
        <w:t xml:space="preserve"> to human milk, </w:t>
      </w:r>
      <w:r>
        <w:rPr>
          <w:lang w:bidi="ar-SA"/>
        </w:rPr>
        <w:t xml:space="preserve">some </w:t>
      </w:r>
      <w:r w:rsidRPr="003E7621">
        <w:rPr>
          <w:lang w:bidi="ar-SA"/>
        </w:rPr>
        <w:t xml:space="preserve">caregivers </w:t>
      </w:r>
      <w:r>
        <w:rPr>
          <w:lang w:bidi="ar-SA"/>
        </w:rPr>
        <w:t xml:space="preserve">may </w:t>
      </w:r>
      <w:r w:rsidRPr="003E7621">
        <w:rPr>
          <w:lang w:bidi="ar-SA"/>
        </w:rPr>
        <w:t>infer infant formula and follow</w:t>
      </w:r>
      <w:r w:rsidR="007B1767">
        <w:rPr>
          <w:lang w:bidi="ar-SA"/>
        </w:rPr>
        <w:t>-</w:t>
      </w:r>
      <w:r w:rsidRPr="003E7621">
        <w:rPr>
          <w:lang w:bidi="ar-SA"/>
        </w:rPr>
        <w:t xml:space="preserve">on formula within the same brand range are closer in composition to </w:t>
      </w:r>
      <w:r w:rsidR="00A9269B">
        <w:rPr>
          <w:lang w:bidi="ar-SA"/>
        </w:rPr>
        <w:t>breast milk</w:t>
      </w:r>
      <w:r w:rsidRPr="003E7621">
        <w:rPr>
          <w:lang w:bidi="ar-SA"/>
        </w:rPr>
        <w:t xml:space="preserve">. Furthermore, it is possible that caregivers who believe an infant formula product is closer in composition to </w:t>
      </w:r>
      <w:r w:rsidR="00A9269B">
        <w:rPr>
          <w:lang w:bidi="ar-SA"/>
        </w:rPr>
        <w:t>breast milk</w:t>
      </w:r>
      <w:r w:rsidRPr="003E7621">
        <w:rPr>
          <w:lang w:bidi="ar-SA"/>
        </w:rPr>
        <w:t xml:space="preserve"> may be more likely to use infant formula in place of</w:t>
      </w:r>
      <w:r w:rsidR="002E6A97">
        <w:rPr>
          <w:lang w:bidi="ar-SA"/>
        </w:rPr>
        <w:t>,</w:t>
      </w:r>
      <w:r w:rsidRPr="003E7621">
        <w:rPr>
          <w:lang w:bidi="ar-SA"/>
        </w:rPr>
        <w:t xml:space="preserve"> or in addition</w:t>
      </w:r>
      <w:r w:rsidR="002E6A97">
        <w:rPr>
          <w:lang w:bidi="ar-SA"/>
        </w:rPr>
        <w:t>,</w:t>
      </w:r>
      <w:r w:rsidRPr="003E7621">
        <w:rPr>
          <w:lang w:bidi="ar-SA"/>
        </w:rPr>
        <w:t xml:space="preserve"> to breastfeeding (Malek et al. 2019</w:t>
      </w:r>
      <w:r w:rsidR="000A02AA">
        <w:rPr>
          <w:lang w:bidi="ar-SA"/>
        </w:rPr>
        <w:t>)</w:t>
      </w:r>
      <w:r w:rsidR="00C57053">
        <w:rPr>
          <w:lang w:bidi="ar-SA"/>
        </w:rPr>
        <w:t xml:space="preserve"> </w:t>
      </w:r>
    </w:p>
    <w:p w14:paraId="513E3A0A" w14:textId="6B24DB00" w:rsidR="003228D3" w:rsidRPr="0072323B" w:rsidRDefault="003228D3" w:rsidP="0072323B">
      <w:pPr>
        <w:pStyle w:val="Heading5"/>
      </w:pPr>
      <w:r w:rsidRPr="0072323B">
        <w:t>Summary</w:t>
      </w:r>
    </w:p>
    <w:p w14:paraId="4A36EA78" w14:textId="511585F0" w:rsidR="003228D3" w:rsidRPr="00574091" w:rsidRDefault="0072323B" w:rsidP="00574091">
      <w:pPr>
        <w:rPr>
          <w:lang w:bidi="ar-SA"/>
        </w:rPr>
      </w:pPr>
      <w:r>
        <w:rPr>
          <w:rFonts w:cs="Arial"/>
          <w:szCs w:val="22"/>
        </w:rPr>
        <w:t>FSANZ has determined that t</w:t>
      </w:r>
      <w:r w:rsidR="00A956B6">
        <w:rPr>
          <w:rFonts w:cs="Arial"/>
          <w:szCs w:val="22"/>
        </w:rPr>
        <w:t xml:space="preserve">he </w:t>
      </w:r>
      <w:r w:rsidR="00490A92">
        <w:rPr>
          <w:rFonts w:cs="Arial"/>
          <w:szCs w:val="22"/>
        </w:rPr>
        <w:t xml:space="preserve">decision to prohibit terms such as </w:t>
      </w:r>
      <w:r w:rsidR="00490A92" w:rsidRPr="003E7621">
        <w:rPr>
          <w:lang w:bidi="ar-SA"/>
        </w:rPr>
        <w:t xml:space="preserve">‘human milk identical oligosaccharide’ on FSFYC </w:t>
      </w:r>
      <w:r w:rsidR="00490A92">
        <w:rPr>
          <w:lang w:bidi="ar-SA"/>
        </w:rPr>
        <w:t xml:space="preserve">labels is supported by the </w:t>
      </w:r>
      <w:r w:rsidR="00514C60">
        <w:rPr>
          <w:lang w:bidi="ar-SA"/>
        </w:rPr>
        <w:t xml:space="preserve">best </w:t>
      </w:r>
      <w:r w:rsidR="00490A92">
        <w:rPr>
          <w:lang w:bidi="ar-SA"/>
        </w:rPr>
        <w:t>available consumer evidence</w:t>
      </w:r>
      <w:r w:rsidR="003228D3">
        <w:rPr>
          <w:lang w:bidi="ar-SA"/>
        </w:rPr>
        <w:t xml:space="preserve">. </w:t>
      </w:r>
      <w:r w:rsidR="00574091">
        <w:rPr>
          <w:lang w:bidi="ar-SA"/>
        </w:rPr>
        <w:t xml:space="preserve">The </w:t>
      </w:r>
      <w:r w:rsidR="003228D3">
        <w:rPr>
          <w:lang w:bidi="ar-SA"/>
        </w:rPr>
        <w:t xml:space="preserve">approach </w:t>
      </w:r>
      <w:r w:rsidR="00574091">
        <w:rPr>
          <w:lang w:bidi="ar-SA"/>
        </w:rPr>
        <w:t xml:space="preserve">also </w:t>
      </w:r>
      <w:r w:rsidR="003228D3">
        <w:rPr>
          <w:lang w:bidi="ar-SA"/>
        </w:rPr>
        <w:t xml:space="preserve">aligns with </w:t>
      </w:r>
      <w:r>
        <w:rPr>
          <w:lang w:bidi="ar-SA"/>
        </w:rPr>
        <w:t xml:space="preserve">labelling approaches in other countries such as the </w:t>
      </w:r>
      <w:r w:rsidR="003228D3">
        <w:rPr>
          <w:lang w:bidi="ar-SA"/>
        </w:rPr>
        <w:t>EU</w:t>
      </w:r>
      <w:r>
        <w:rPr>
          <w:lang w:bidi="ar-SA"/>
        </w:rPr>
        <w:t xml:space="preserve"> and Singapore </w:t>
      </w:r>
      <w:r w:rsidR="003228D3">
        <w:rPr>
          <w:lang w:bidi="ar-SA"/>
        </w:rPr>
        <w:t xml:space="preserve">(refer to </w:t>
      </w:r>
      <w:r w:rsidR="003228D3" w:rsidRPr="0072323B">
        <w:rPr>
          <w:lang w:bidi="ar-SA"/>
        </w:rPr>
        <w:t xml:space="preserve">section 1.3.2.3). </w:t>
      </w:r>
      <w:r w:rsidR="00574091" w:rsidRPr="0072323B">
        <w:rPr>
          <w:lang w:bidi="ar-SA"/>
        </w:rPr>
        <w:t>The</w:t>
      </w:r>
      <w:r w:rsidR="00574091">
        <w:rPr>
          <w:lang w:bidi="ar-SA"/>
        </w:rPr>
        <w:t xml:space="preserve"> ingredients </w:t>
      </w:r>
      <w:r w:rsidR="00574091" w:rsidRPr="00574091">
        <w:rPr>
          <w:lang w:bidi="ar-SA"/>
        </w:rPr>
        <w:t xml:space="preserve">2′-FL and LNnT </w:t>
      </w:r>
      <w:r w:rsidR="00574091">
        <w:rPr>
          <w:lang w:bidi="ar-SA"/>
        </w:rPr>
        <w:t>will be prohibited from the use of the terms</w:t>
      </w:r>
      <w:r w:rsidR="00574091" w:rsidRPr="00574091">
        <w:rPr>
          <w:lang w:bidi="ar-SA"/>
        </w:rPr>
        <w:t xml:space="preserve"> ‘human milk identical oligosaccharide’, ‘human milk oligosaccharide’, ‘HiMO’ or ‘HMO’ (or words or abbreviations of similar effect)</w:t>
      </w:r>
      <w:r w:rsidR="00574091">
        <w:rPr>
          <w:lang w:bidi="ar-SA"/>
        </w:rPr>
        <w:t xml:space="preserve"> </w:t>
      </w:r>
      <w:r w:rsidR="008347A6">
        <w:rPr>
          <w:lang w:bidi="ar-SA"/>
        </w:rPr>
        <w:t xml:space="preserve">anywhere </w:t>
      </w:r>
      <w:r w:rsidR="00574091">
        <w:rPr>
          <w:lang w:bidi="ar-SA"/>
        </w:rPr>
        <w:t>on FSFYC labels</w:t>
      </w:r>
      <w:r w:rsidR="00A9269B">
        <w:rPr>
          <w:lang w:bidi="ar-SA"/>
        </w:rPr>
        <w:t>, although the general term oligosaccharide can be used</w:t>
      </w:r>
      <w:r w:rsidR="00574091">
        <w:rPr>
          <w:lang w:bidi="ar-SA"/>
        </w:rPr>
        <w:t>.</w:t>
      </w:r>
    </w:p>
    <w:p w14:paraId="46472FA2" w14:textId="602D8615" w:rsidR="006045FA" w:rsidRDefault="008B14BA" w:rsidP="00574091">
      <w:pPr>
        <w:pStyle w:val="Heading4"/>
      </w:pPr>
      <w:r>
        <w:t>2.3.4.4</w:t>
      </w:r>
      <w:r>
        <w:tab/>
      </w:r>
      <w:r>
        <w:tab/>
      </w:r>
      <w:r w:rsidR="00C70A6F" w:rsidRPr="003E7621">
        <w:t>Voluntary representations</w:t>
      </w:r>
    </w:p>
    <w:p w14:paraId="1A2BB3E3" w14:textId="3838F434" w:rsidR="007B1767" w:rsidRDefault="007B1767" w:rsidP="007B1767">
      <w:pPr>
        <w:widowControl/>
      </w:pPr>
      <w:r w:rsidRPr="003F4AD1">
        <w:t>Subsection 1.2.7—4(b) of Standard 1.2.7 states that a nutrition content claim or health claim must not be made about an infant formula product.</w:t>
      </w:r>
      <w:r w:rsidR="004D4AD9">
        <w:t xml:space="preserve"> </w:t>
      </w:r>
      <w:r>
        <w:t>The prohibition is also set out in section 2.9.1—24(1)(f) of Standard 2.9.1, which prohibits a reference to the presence of a nutrient or substance that may be used as a nutritive substance, except for a statement relating</w:t>
      </w:r>
      <w:r w:rsidRPr="00136178">
        <w:t xml:space="preserve"> to lactose</w:t>
      </w:r>
      <w:r>
        <w:t>, a statement of ingredients</w:t>
      </w:r>
      <w:r w:rsidRPr="00136178">
        <w:t xml:space="preserve"> or </w:t>
      </w:r>
      <w:r>
        <w:t>a declaration of</w:t>
      </w:r>
      <w:r w:rsidRPr="00136178">
        <w:t xml:space="preserve"> nutrition information</w:t>
      </w:r>
      <w:r>
        <w:t>.</w:t>
      </w:r>
    </w:p>
    <w:p w14:paraId="19A0CE01" w14:textId="77777777" w:rsidR="007B1767" w:rsidRDefault="007B1767" w:rsidP="007B1767"/>
    <w:p w14:paraId="5AF495D8" w14:textId="321BE1D3" w:rsidR="00C70A6F" w:rsidRDefault="00C70A6F" w:rsidP="00DC5D76">
      <w:pPr>
        <w:keepNext/>
        <w:keepLines/>
      </w:pPr>
      <w:r>
        <w:t>The existing prohibition for nutrition content claims and health claims for infant formula products w</w:t>
      </w:r>
      <w:r w:rsidR="007B1767">
        <w:t>ill</w:t>
      </w:r>
      <w:r w:rsidDel="00724A02">
        <w:t xml:space="preserve"> </w:t>
      </w:r>
      <w:r>
        <w:t>apply to 2′-FL and LNnT. Inclusion of</w:t>
      </w:r>
      <w:r w:rsidRPr="0061046A" w:rsidDel="003C0772">
        <w:t xml:space="preserve"> </w:t>
      </w:r>
      <w:r w:rsidRPr="0061046A">
        <w:t>these substances</w:t>
      </w:r>
      <w:r>
        <w:t xml:space="preserve"> in the nutrition information statement</w:t>
      </w:r>
      <w:r w:rsidRPr="003C0772">
        <w:t xml:space="preserve"> </w:t>
      </w:r>
      <w:r>
        <w:t>w</w:t>
      </w:r>
      <w:r w:rsidR="0034561D">
        <w:t xml:space="preserve">ill </w:t>
      </w:r>
      <w:r>
        <w:t xml:space="preserve">not be captured as nutrition content claims by virtue of their </w:t>
      </w:r>
      <w:r w:rsidR="00A9269B">
        <w:t xml:space="preserve">mandatory </w:t>
      </w:r>
      <w:r>
        <w:t>declaration as require</w:t>
      </w:r>
      <w:r w:rsidR="00A9269B">
        <w:t xml:space="preserve">ments </w:t>
      </w:r>
      <w:r>
        <w:t xml:space="preserve">in paragraph 2.9.1—24(1)(f) of the Code. </w:t>
      </w:r>
    </w:p>
    <w:p w14:paraId="19DEF0C5" w14:textId="77777777" w:rsidR="00C70A6F" w:rsidRDefault="00C70A6F" w:rsidP="00C70A6F"/>
    <w:p w14:paraId="63B3C0E2" w14:textId="12D28999" w:rsidR="00963FDE" w:rsidRDefault="00C70A6F" w:rsidP="00963FDE">
      <w:r>
        <w:t>As noted at 2</w:t>
      </w:r>
      <w:r w:rsidRPr="00C70A6F">
        <w:rPr>
          <w:vertAlign w:val="superscript"/>
        </w:rPr>
        <w:t>nd</w:t>
      </w:r>
      <w:r>
        <w:t xml:space="preserve"> C</w:t>
      </w:r>
      <w:r w:rsidR="0034561D">
        <w:t xml:space="preserve">all for Submissions, </w:t>
      </w:r>
      <w:r>
        <w:t xml:space="preserve">nutrition content claims and health claims </w:t>
      </w:r>
      <w:r w:rsidR="0034561D">
        <w:t xml:space="preserve">can be made about FSFYC </w:t>
      </w:r>
      <w:r>
        <w:t xml:space="preserve">if they </w:t>
      </w:r>
      <w:r w:rsidR="0034561D">
        <w:t>meet</w:t>
      </w:r>
      <w:r>
        <w:t xml:space="preserve"> existing claim requirements and conditions set out in Standard 1.2.7 and Schedule 4 – Nutrition, health and related claims</w:t>
      </w:r>
      <w:r w:rsidR="0034561D">
        <w:t xml:space="preserve"> (for example, a nutrition content claim about </w:t>
      </w:r>
      <w:r w:rsidR="0034561D" w:rsidRPr="0034561D">
        <w:t>2-fucosyllactose</w:t>
      </w:r>
      <w:r w:rsidR="0034561D">
        <w:t>)</w:t>
      </w:r>
      <w:r w:rsidRPr="0034561D">
        <w:t>.</w:t>
      </w:r>
      <w:r>
        <w:t xml:space="preserve"> </w:t>
      </w:r>
      <w:r w:rsidR="001604F2">
        <w:t>FSANZ notes that a</w:t>
      </w:r>
      <w:r w:rsidR="00963FDE" w:rsidRPr="006045FA">
        <w:t>ny</w:t>
      </w:r>
      <w:r w:rsidR="00A9269B">
        <w:t xml:space="preserve"> health</w:t>
      </w:r>
      <w:r w:rsidR="00963FDE" w:rsidRPr="006045FA">
        <w:t xml:space="preserve"> claims would either have to be applied for separately (for addition to Schedule 4), or be substantiated through a systematic review in accordance with Schedule 6.</w:t>
      </w:r>
    </w:p>
    <w:p w14:paraId="0CC29723" w14:textId="77777777" w:rsidR="001604F2" w:rsidRDefault="001604F2" w:rsidP="00963FDE"/>
    <w:p w14:paraId="78B4F2D9" w14:textId="6049781B" w:rsidR="00C70A6F" w:rsidRDefault="00574091" w:rsidP="00C70A6F">
      <w:r>
        <w:t>T</w:t>
      </w:r>
      <w:r w:rsidR="00C70A6F">
        <w:t xml:space="preserve">he </w:t>
      </w:r>
      <w:r w:rsidR="0034561D">
        <w:t>prohibition of</w:t>
      </w:r>
      <w:r w:rsidR="00C70A6F">
        <w:t xml:space="preserve"> </w:t>
      </w:r>
      <w:r w:rsidR="00C70A6F" w:rsidRPr="003E7621">
        <w:rPr>
          <w:rFonts w:cs="Arial"/>
          <w:szCs w:val="22"/>
        </w:rPr>
        <w:t xml:space="preserve">terms such as ‘human milk identical oligosaccharide’ </w:t>
      </w:r>
      <w:r w:rsidR="00F52A36">
        <w:rPr>
          <w:rFonts w:cs="Arial"/>
          <w:szCs w:val="22"/>
        </w:rPr>
        <w:t>or abbreviations such as ‘HiMO’</w:t>
      </w:r>
      <w:r w:rsidR="0034561D">
        <w:rPr>
          <w:rFonts w:cs="Arial"/>
          <w:szCs w:val="22"/>
        </w:rPr>
        <w:t xml:space="preserve"> will mean </w:t>
      </w:r>
      <w:r w:rsidR="00C70A6F" w:rsidRPr="003E7621">
        <w:rPr>
          <w:rFonts w:cs="Arial"/>
          <w:szCs w:val="22"/>
        </w:rPr>
        <w:t>they c</w:t>
      </w:r>
      <w:r w:rsidR="0034561D">
        <w:rPr>
          <w:rFonts w:cs="Arial"/>
          <w:szCs w:val="22"/>
        </w:rPr>
        <w:t>annot</w:t>
      </w:r>
      <w:r w:rsidR="00C70A6F" w:rsidRPr="003E7621">
        <w:rPr>
          <w:rFonts w:cs="Arial"/>
          <w:szCs w:val="22"/>
        </w:rPr>
        <w:t xml:space="preserve"> be used in the wording of a nutrition content or </w:t>
      </w:r>
      <w:r w:rsidR="00C70A6F" w:rsidRPr="003E7621" w:rsidDel="00991464">
        <w:rPr>
          <w:rFonts w:cs="Arial"/>
          <w:szCs w:val="22"/>
        </w:rPr>
        <w:t xml:space="preserve">health </w:t>
      </w:r>
      <w:r w:rsidR="00C70A6F" w:rsidRPr="003E7621">
        <w:rPr>
          <w:rFonts w:cs="Arial"/>
          <w:szCs w:val="22"/>
        </w:rPr>
        <w:t>claim for FSFYC.</w:t>
      </w:r>
      <w:r w:rsidR="00A9269B">
        <w:rPr>
          <w:rFonts w:cs="Arial"/>
          <w:szCs w:val="22"/>
        </w:rPr>
        <w:t xml:space="preserve"> The term oligosaccharide can be used.</w:t>
      </w:r>
    </w:p>
    <w:p w14:paraId="38511267" w14:textId="1940D3E1" w:rsidR="00C70A6F" w:rsidRDefault="008B14BA" w:rsidP="00574091">
      <w:pPr>
        <w:pStyle w:val="Heading4"/>
      </w:pPr>
      <w:r>
        <w:t>2.3.4.5</w:t>
      </w:r>
      <w:r>
        <w:tab/>
      </w:r>
      <w:r>
        <w:tab/>
      </w:r>
      <w:r w:rsidR="00C70A6F">
        <w:t>Trade</w:t>
      </w:r>
      <w:r w:rsidR="004C563B">
        <w:t xml:space="preserve"> </w:t>
      </w:r>
      <w:r w:rsidR="00C70A6F">
        <w:t>marks</w:t>
      </w:r>
    </w:p>
    <w:p w14:paraId="193BD01D" w14:textId="31A6F122" w:rsidR="00C70A6F" w:rsidRDefault="00B509D4" w:rsidP="00C70A6F">
      <w:r>
        <w:t>One jurisdiction submitter expressed concern that ingredient names may be trade</w:t>
      </w:r>
      <w:r w:rsidR="004C563B">
        <w:t xml:space="preserve"> </w:t>
      </w:r>
      <w:r>
        <w:t>marked to circumvent the claim requirements and claim prohibitions in the Code. Trade</w:t>
      </w:r>
      <w:r w:rsidR="004C563B">
        <w:t xml:space="preserve"> </w:t>
      </w:r>
      <w:r>
        <w:t xml:space="preserve">marks </w:t>
      </w:r>
      <w:r w:rsidR="004C563B">
        <w:t xml:space="preserve">are regulated by the Australian </w:t>
      </w:r>
      <w:r w:rsidR="004C563B" w:rsidRPr="001367E5">
        <w:rPr>
          <w:i/>
        </w:rPr>
        <w:t>Trade Marks Act 1995</w:t>
      </w:r>
      <w:r w:rsidR="004C563B">
        <w:t xml:space="preserve"> (Cth) and the New Zealand </w:t>
      </w:r>
      <w:r w:rsidR="004C563B" w:rsidRPr="001367E5">
        <w:rPr>
          <w:i/>
        </w:rPr>
        <w:t>Trade Marks Act 2002</w:t>
      </w:r>
      <w:r w:rsidR="004C563B">
        <w:t>; hence t</w:t>
      </w:r>
      <w:r w:rsidR="00C70A6F" w:rsidRPr="00A77CAB">
        <w:t>rade</w:t>
      </w:r>
      <w:r w:rsidR="004C563B">
        <w:t xml:space="preserve"> </w:t>
      </w:r>
      <w:r w:rsidR="00C70A6F" w:rsidRPr="00A77CAB">
        <w:t xml:space="preserve">marks are out of scope of the Code. </w:t>
      </w:r>
      <w:r w:rsidR="004C563B">
        <w:t xml:space="preserve">In Australia, </w:t>
      </w:r>
      <w:r w:rsidR="00C70A6F" w:rsidRPr="00A77CAB">
        <w:t xml:space="preserve">IP Australia </w:t>
      </w:r>
      <w:r w:rsidR="004C563B">
        <w:t xml:space="preserve">consider existing legislation (including Code requirements which are enabled by Food Acts) when </w:t>
      </w:r>
      <w:r w:rsidR="00C70A6F" w:rsidRPr="00A77CAB">
        <w:t>assess</w:t>
      </w:r>
      <w:r w:rsidR="004C563B">
        <w:t>ing</w:t>
      </w:r>
      <w:r w:rsidR="00C70A6F" w:rsidRPr="00A77CAB">
        <w:t xml:space="preserve"> </w:t>
      </w:r>
      <w:r w:rsidR="004C563B">
        <w:t xml:space="preserve">trade mark </w:t>
      </w:r>
      <w:r w:rsidR="00C70A6F" w:rsidRPr="00A77CAB">
        <w:t>applications</w:t>
      </w:r>
      <w:r w:rsidR="004C563B">
        <w:t xml:space="preserve">. </w:t>
      </w:r>
      <w:r w:rsidR="00C70A6F" w:rsidRPr="00A77CAB">
        <w:t>The Registrar is required to examine an application for a trade mark and report on whether there are grounds under the Trade Marks Act for rejecting the trade mark. The Trade Marks Act requires a trade mark to be rejected if its use would be contrary to law. In New Zealand, IPONZ follow similar processes under the New Zealand Trade Marks Act.</w:t>
      </w:r>
    </w:p>
    <w:p w14:paraId="7C7A7E8B" w14:textId="0D5A66A0" w:rsidR="00280A76" w:rsidRPr="003E7621" w:rsidRDefault="008B14BA" w:rsidP="00574091">
      <w:pPr>
        <w:pStyle w:val="Heading4"/>
      </w:pPr>
      <w:r>
        <w:t>2.3.4.6</w:t>
      </w:r>
      <w:r>
        <w:tab/>
      </w:r>
      <w:r>
        <w:tab/>
      </w:r>
      <w:r w:rsidR="00280A76" w:rsidRPr="003E7621">
        <w:t>Labelling as ‘genetically modified’</w:t>
      </w:r>
    </w:p>
    <w:p w14:paraId="3202032A" w14:textId="4DDEF61F" w:rsidR="00280A76" w:rsidRPr="003E7621" w:rsidRDefault="00EC203D" w:rsidP="00280A76">
      <w:r>
        <w:t>The ingredients</w:t>
      </w:r>
      <w:r w:rsidR="00C91371" w:rsidRPr="003E7621">
        <w:t xml:space="preserve"> </w:t>
      </w:r>
      <w:r w:rsidR="00280A76" w:rsidRPr="003E7621">
        <w:t xml:space="preserve">2′-FL and LNnT are highly </w:t>
      </w:r>
      <w:r w:rsidR="00280A76" w:rsidRPr="003E7621">
        <w:rPr>
          <w:rFonts w:cs="Arial"/>
        </w:rPr>
        <w:t>unlikely to contain</w:t>
      </w:r>
      <w:r w:rsidR="00280A76" w:rsidRPr="003E7621">
        <w:t xml:space="preserve"> novel protein or DNA </w:t>
      </w:r>
      <w:r w:rsidR="00280A76" w:rsidRPr="003E7621">
        <w:rPr>
          <w:rFonts w:cs="Arial"/>
        </w:rPr>
        <w:t xml:space="preserve">due to </w:t>
      </w:r>
      <w:r w:rsidR="00280A76" w:rsidRPr="003E7621">
        <w:t xml:space="preserve">the </w:t>
      </w:r>
      <w:r w:rsidR="00280A76" w:rsidRPr="003E7621">
        <w:rPr>
          <w:rFonts w:cs="Arial"/>
        </w:rPr>
        <w:t>purification step used</w:t>
      </w:r>
      <w:r w:rsidR="00280A76" w:rsidRPr="003E7621">
        <w:t xml:space="preserve"> in the production of </w:t>
      </w:r>
      <w:r w:rsidR="00280A76" w:rsidRPr="003E7621">
        <w:rPr>
          <w:rFonts w:cs="Arial"/>
        </w:rPr>
        <w:t>these oligosaccharides</w:t>
      </w:r>
      <w:r w:rsidR="00280A76" w:rsidRPr="003E7621">
        <w:t>.</w:t>
      </w:r>
      <w:r w:rsidR="00280A76">
        <w:t xml:space="preserve"> </w:t>
      </w:r>
      <w:r w:rsidR="00280A76" w:rsidRPr="003E7621">
        <w:t>It is therefore highly unlikely that novel protein will be present in an infant formula product or FSFYC that contains 2′-FL or LNnT as ingredients. However, where novel protein is present, the requirement to label 2′-FL or LNnT as ‘genetically modified’ w</w:t>
      </w:r>
      <w:r w:rsidR="00D93BDC">
        <w:t>ill</w:t>
      </w:r>
      <w:r w:rsidR="00280A76" w:rsidRPr="003E7621">
        <w:t xml:space="preserve"> apply in accordance with section 1.5.2—4 of Standard 1.5.2. </w:t>
      </w:r>
    </w:p>
    <w:p w14:paraId="027D0986" w14:textId="3A192C2D" w:rsidR="00C70A6F" w:rsidRDefault="00574091" w:rsidP="00574091">
      <w:pPr>
        <w:pStyle w:val="Heading3"/>
        <w:rPr>
          <w:b w:val="0"/>
          <w:bCs w:val="0"/>
          <w:color w:val="000000" w:themeColor="text1"/>
        </w:rPr>
      </w:pPr>
      <w:bookmarkStart w:id="103" w:name="_Toc22303675"/>
      <w:bookmarkStart w:id="104" w:name="_Toc22650338"/>
      <w:bookmarkStart w:id="105" w:name="_Toc309291814"/>
      <w:bookmarkStart w:id="106" w:name="_Toc370225389"/>
      <w:bookmarkStart w:id="107" w:name="_Toc286391012"/>
      <w:bookmarkEnd w:id="94"/>
      <w:r>
        <w:t>2.3.5</w:t>
      </w:r>
      <w:r>
        <w:tab/>
      </w:r>
      <w:r w:rsidR="00C70A6F" w:rsidRPr="00C70A6F">
        <w:t>Specifications for 2′-FL and LNnT</w:t>
      </w:r>
      <w:bookmarkEnd w:id="103"/>
      <w:bookmarkEnd w:id="104"/>
    </w:p>
    <w:p w14:paraId="1CD9499B" w14:textId="203C1952" w:rsidR="00C70A6F" w:rsidRDefault="00C04708" w:rsidP="00C70A6F">
      <w:r>
        <w:t xml:space="preserve">Subsection 1.1.1—15(2) of the Code requires that a substance used as a food additive (paragraph 1.1.1—15(1)(a)) must comply with a relevant specification in Schedule 3 – Identity and purity. </w:t>
      </w:r>
      <w:r w:rsidR="00C70A6F">
        <w:t xml:space="preserve">FSANZ </w:t>
      </w:r>
      <w:r w:rsidR="00280A76">
        <w:t xml:space="preserve">has </w:t>
      </w:r>
      <w:r w:rsidR="00C70A6F">
        <w:t>set specifications for 2′-FL and LNnT in the Code using those provided by the applicant (without specifying the methods of analysis).</w:t>
      </w:r>
    </w:p>
    <w:p w14:paraId="6FDC3E1F" w14:textId="3DF6E0D7" w:rsidR="00B14809" w:rsidRDefault="00B14809" w:rsidP="00B14809">
      <w:pPr>
        <w:pStyle w:val="Heading3"/>
      </w:pPr>
      <w:bookmarkStart w:id="108" w:name="_Toc22303676"/>
      <w:bookmarkStart w:id="109" w:name="_Toc22650339"/>
      <w:r>
        <w:t>2.3.</w:t>
      </w:r>
      <w:r w:rsidR="00574091" w:rsidRPr="00574091">
        <w:t>6</w:t>
      </w:r>
      <w:r w:rsidR="00574091" w:rsidRPr="00574091">
        <w:tab/>
      </w:r>
      <w:r>
        <w:t>International harmonisation</w:t>
      </w:r>
      <w:bookmarkEnd w:id="108"/>
      <w:bookmarkEnd w:id="109"/>
    </w:p>
    <w:p w14:paraId="6F4829F7" w14:textId="057BA7CB" w:rsidR="00B14809" w:rsidRDefault="00B14809" w:rsidP="00B14809">
      <w:r>
        <w:t>The proposed</w:t>
      </w:r>
      <w:r w:rsidRPr="00C66B99">
        <w:t xml:space="preserve"> </w:t>
      </w:r>
      <w:r>
        <w:t>permission</w:t>
      </w:r>
      <w:r w:rsidRPr="00C66B99">
        <w:t xml:space="preserve"> </w:t>
      </w:r>
      <w:r>
        <w:t xml:space="preserve">also supports international consistency and a competitive food industry (high order policy principles 2(b) and (c)), providing trade opportunities. It also provides alternative options to existing </w:t>
      </w:r>
      <w:r w:rsidRPr="00E55DDC">
        <w:rPr>
          <w:rFonts w:eastAsia="Calibri"/>
        </w:rPr>
        <w:t>inulin-type fructans (</w:t>
      </w:r>
      <w:r w:rsidRPr="00E55DDC">
        <w:t xml:space="preserve">ITF) and </w:t>
      </w:r>
      <w:r w:rsidRPr="00E55DDC">
        <w:rPr>
          <w:rFonts w:eastAsia="Calibri"/>
        </w:rPr>
        <w:t>galacto-oligosaccharides (</w:t>
      </w:r>
      <w:r w:rsidRPr="00E55DDC">
        <w:t>GOS) permitted at higher</w:t>
      </w:r>
      <w:r>
        <w:t xml:space="preserve"> levels in infant formula products, providing</w:t>
      </w:r>
      <w:r w:rsidRPr="000720C7">
        <w:t xml:space="preserve"> </w:t>
      </w:r>
      <w:r>
        <w:t>product</w:t>
      </w:r>
      <w:r w:rsidRPr="000720C7">
        <w:t xml:space="preserve"> innovation opportunities</w:t>
      </w:r>
      <w:r>
        <w:t xml:space="preserve"> (</w:t>
      </w:r>
      <w:r w:rsidRPr="00290050">
        <w:t>see section</w:t>
      </w:r>
      <w:r>
        <w:t>s</w:t>
      </w:r>
      <w:r w:rsidRPr="00290050">
        <w:t xml:space="preserve"> 2.5.1.1</w:t>
      </w:r>
      <w:r>
        <w:t xml:space="preserve"> and 2.5.3</w:t>
      </w:r>
      <w:r w:rsidRPr="00290050">
        <w:t>).</w:t>
      </w:r>
    </w:p>
    <w:p w14:paraId="73E0BEFB" w14:textId="4679ABA8" w:rsidR="003B51B3" w:rsidRDefault="003B51B3" w:rsidP="00B14809"/>
    <w:p w14:paraId="44BB263F" w14:textId="13EFCF58" w:rsidR="003B51B3" w:rsidRDefault="0072323B" w:rsidP="00DC5D76">
      <w:pPr>
        <w:keepNext/>
        <w:keepLines/>
      </w:pPr>
      <w:r>
        <w:t>As there different approaches to labelling internationally,</w:t>
      </w:r>
      <w:r w:rsidR="0070659D">
        <w:t xml:space="preserve"> it is not possible to be completely harmonised. FSANZ considers that </w:t>
      </w:r>
      <w:r>
        <w:t>t</w:t>
      </w:r>
      <w:r w:rsidR="003B51B3">
        <w:t xml:space="preserve">he </w:t>
      </w:r>
      <w:r w:rsidR="00DF7FFB">
        <w:t xml:space="preserve">restrictions on </w:t>
      </w:r>
      <w:r w:rsidR="0070659D">
        <w:rPr>
          <w:lang w:bidi="ar-SA"/>
        </w:rPr>
        <w:t>use of the terms</w:t>
      </w:r>
      <w:r w:rsidR="0070659D" w:rsidRPr="00574091">
        <w:rPr>
          <w:lang w:bidi="ar-SA"/>
        </w:rPr>
        <w:t xml:space="preserve"> ‘human milk identical oligosaccharide’</w:t>
      </w:r>
      <w:r w:rsidR="0070659D">
        <w:rPr>
          <w:lang w:bidi="ar-SA"/>
        </w:rPr>
        <w:t xml:space="preserve"> align with the approach taken in a number of countries thus supports international consistency. </w:t>
      </w:r>
    </w:p>
    <w:p w14:paraId="5FAC6B6B" w14:textId="3B7682DF" w:rsidR="002F7096" w:rsidRDefault="0057068D" w:rsidP="002F7096">
      <w:pPr>
        <w:pStyle w:val="Heading3"/>
      </w:pPr>
      <w:bookmarkStart w:id="110" w:name="_Toc22303677"/>
      <w:bookmarkStart w:id="111" w:name="_Toc22650340"/>
      <w:r>
        <w:t>2.3.7</w:t>
      </w:r>
      <w:r>
        <w:tab/>
      </w:r>
      <w:r w:rsidR="002F7096">
        <w:t>Exclusivity</w:t>
      </w:r>
      <w:bookmarkEnd w:id="110"/>
      <w:bookmarkEnd w:id="111"/>
    </w:p>
    <w:p w14:paraId="3FB1F50A" w14:textId="77777777" w:rsidR="002F7096" w:rsidRPr="003E7621" w:rsidRDefault="002F7096" w:rsidP="002F7096">
      <w:pPr>
        <w:widowControl/>
        <w:autoSpaceDE w:val="0"/>
        <w:autoSpaceDN w:val="0"/>
        <w:adjustRightInd w:val="0"/>
      </w:pPr>
      <w:r w:rsidRPr="003E7621">
        <w:rPr>
          <w:lang w:eastAsia="en-AU"/>
        </w:rPr>
        <w:t>An applicant may request exclusive permission for a period of 15 months to recognise the investment made in developing the food or ingredient or nutritive substance and the need to achieve return on this investment, thereby supporting innovation.</w:t>
      </w:r>
      <w:r w:rsidRPr="003E7621">
        <w:t xml:space="preserve"> The applicant has requested exclusivity for their specific brand of 2′-FL and LNnT</w:t>
      </w:r>
      <w:r w:rsidRPr="003E7621">
        <w:rPr>
          <w:rStyle w:val="FootnoteReference"/>
        </w:rPr>
        <w:footnoteReference w:id="20"/>
      </w:r>
      <w:r w:rsidRPr="003E7621">
        <w:t xml:space="preserve"> on the basis that they, and their business partners, have invested significantly in the technology development and safety studies.</w:t>
      </w:r>
    </w:p>
    <w:p w14:paraId="29126124" w14:textId="77777777" w:rsidR="002F7096" w:rsidRPr="003E7621" w:rsidRDefault="002F7096" w:rsidP="002F7096">
      <w:pPr>
        <w:widowControl/>
        <w:autoSpaceDE w:val="0"/>
        <w:autoSpaceDN w:val="0"/>
        <w:adjustRightInd w:val="0"/>
      </w:pPr>
    </w:p>
    <w:p w14:paraId="41257A1E" w14:textId="53AECAE5" w:rsidR="002F7096" w:rsidRPr="003E7621" w:rsidRDefault="002F7096" w:rsidP="002F7096">
      <w:pPr>
        <w:widowControl/>
        <w:autoSpaceDE w:val="0"/>
        <w:autoSpaceDN w:val="0"/>
        <w:adjustRightInd w:val="0"/>
      </w:pPr>
      <w:r w:rsidRPr="003E7621">
        <w:t xml:space="preserve">FSANZ </w:t>
      </w:r>
      <w:r w:rsidR="0070659D">
        <w:t xml:space="preserve">has </w:t>
      </w:r>
      <w:r w:rsidRPr="003E7621">
        <w:t>provide</w:t>
      </w:r>
      <w:r w:rsidR="0070659D">
        <w:t>d</w:t>
      </w:r>
      <w:r w:rsidRPr="003E7621">
        <w:t xml:space="preserve"> 15 months exclusivity from the date of gazettal, linked to the applicant’s brand of 2′-FL and LNnT. </w:t>
      </w:r>
      <w:r w:rsidR="001F1E55">
        <w:rPr>
          <w:rFonts w:cs="Arial"/>
        </w:rPr>
        <w:t>FSANZ has conducted a GM safety assessment for the source organisms and gene-gene donor combinations specific to this application, thus the permission and exclusivity is linked to the specific gene-gene donor information as assessed by FSANZ and is located in Schedule 26. Any modifications to this gene-gene donor information would require an application for assessment and approval. This could mean that a number of 2′-FL approvals, linked to different gene-gene donor information, may be listed in Schedule 26 in the future.</w:t>
      </w:r>
      <w:r w:rsidR="001F1E55" w:rsidRPr="003E7621">
        <w:t xml:space="preserve"> </w:t>
      </w:r>
      <w:r w:rsidRPr="003E7621">
        <w:t>Following the 15 month period, the permission w</w:t>
      </w:r>
      <w:r w:rsidR="0070659D">
        <w:t xml:space="preserve">ill </w:t>
      </w:r>
      <w:r w:rsidRPr="003E7621">
        <w:t xml:space="preserve">revert to a general approval for the class of food. </w:t>
      </w:r>
    </w:p>
    <w:p w14:paraId="55CABB25" w14:textId="77777777" w:rsidR="002F7096" w:rsidRPr="003E7621" w:rsidRDefault="002F7096" w:rsidP="002F7096">
      <w:pPr>
        <w:widowControl/>
        <w:autoSpaceDE w:val="0"/>
        <w:autoSpaceDN w:val="0"/>
        <w:adjustRightInd w:val="0"/>
        <w:rPr>
          <w:lang w:val="en-AU"/>
        </w:rPr>
      </w:pPr>
    </w:p>
    <w:p w14:paraId="5D7A6A02" w14:textId="77777777" w:rsidR="002F7096" w:rsidRPr="00883643" w:rsidRDefault="002F7096" w:rsidP="002F7096">
      <w:pPr>
        <w:widowControl/>
        <w:autoSpaceDE w:val="0"/>
        <w:autoSpaceDN w:val="0"/>
        <w:adjustRightInd w:val="0"/>
        <w:rPr>
          <w:lang w:val="en-AU"/>
        </w:rPr>
      </w:pPr>
      <w:r w:rsidRPr="003E7621">
        <w:t xml:space="preserve">An exclusivity permission in </w:t>
      </w:r>
      <w:r w:rsidRPr="003E7621">
        <w:rPr>
          <w:lang w:val="en-AU"/>
        </w:rPr>
        <w:t xml:space="preserve">the Code does not, and cannot, prevent approval of second or subsequent applications either within the </w:t>
      </w:r>
      <w:r w:rsidRPr="003E7621">
        <w:rPr>
          <w:rFonts w:cs="Arial"/>
          <w:szCs w:val="22"/>
          <w:lang w:eastAsia="en-GB" w:bidi="ar-SA"/>
        </w:rPr>
        <w:t xml:space="preserve">exclusive use </w:t>
      </w:r>
      <w:r w:rsidRPr="003E7621">
        <w:rPr>
          <w:lang w:val="en-AU"/>
        </w:rPr>
        <w:t>period or during the progression of an application, for the use of the same food or ingredient by other food companies, providing the application process is undertaken.</w:t>
      </w:r>
      <w:r>
        <w:rPr>
          <w:lang w:val="en-AU"/>
        </w:rPr>
        <w:t xml:space="preserve"> </w:t>
      </w:r>
    </w:p>
    <w:p w14:paraId="028FBF49" w14:textId="31006C65" w:rsidR="00C70A6F" w:rsidRDefault="002F7096" w:rsidP="0057068D">
      <w:pPr>
        <w:pStyle w:val="Heading3"/>
      </w:pPr>
      <w:bookmarkStart w:id="112" w:name="_Toc22303678"/>
      <w:bookmarkStart w:id="113" w:name="_Toc22650341"/>
      <w:r>
        <w:t>2.3.8</w:t>
      </w:r>
      <w:r w:rsidR="0057068D">
        <w:tab/>
      </w:r>
      <w:r w:rsidR="005948D8">
        <w:t>C</w:t>
      </w:r>
      <w:r w:rsidR="00280A76" w:rsidRPr="00280A76">
        <w:t>onclusion</w:t>
      </w:r>
      <w:bookmarkEnd w:id="112"/>
      <w:bookmarkEnd w:id="113"/>
    </w:p>
    <w:p w14:paraId="290D0646" w14:textId="77777777" w:rsidR="001B3F87" w:rsidRDefault="001B3F87" w:rsidP="00387107">
      <w:pPr>
        <w:rPr>
          <w:rFonts w:cs="Arial"/>
          <w:szCs w:val="22"/>
        </w:rPr>
      </w:pPr>
      <w:r>
        <w:rPr>
          <w:rFonts w:cs="Arial"/>
          <w:szCs w:val="22"/>
        </w:rPr>
        <w:t xml:space="preserve">FSANZ assessed the applicant’s request for use of </w:t>
      </w:r>
      <w:r w:rsidRPr="001B3F87">
        <w:rPr>
          <w:rFonts w:cs="Arial"/>
          <w:szCs w:val="22"/>
        </w:rPr>
        <w:t>2′-FL and LNnT</w:t>
      </w:r>
      <w:r>
        <w:rPr>
          <w:rFonts w:cs="Arial"/>
          <w:szCs w:val="22"/>
        </w:rPr>
        <w:t xml:space="preserve"> in infant formula and FSFYC by assessing the evidence for safety and health effects. </w:t>
      </w:r>
    </w:p>
    <w:p w14:paraId="4BC679D5" w14:textId="77777777" w:rsidR="001B3F87" w:rsidRDefault="001B3F87" w:rsidP="00387107">
      <w:pPr>
        <w:rPr>
          <w:rFonts w:cs="Arial"/>
          <w:szCs w:val="22"/>
        </w:rPr>
      </w:pPr>
    </w:p>
    <w:p w14:paraId="6BE12E64" w14:textId="53B32D9C" w:rsidR="00387107" w:rsidRPr="00387107" w:rsidRDefault="00387107" w:rsidP="00387107">
      <w:r w:rsidRPr="00387107">
        <w:t xml:space="preserve">FSANZ </w:t>
      </w:r>
      <w:r w:rsidRPr="007313CD">
        <w:t xml:space="preserve">has considered </w:t>
      </w:r>
      <w:r>
        <w:t>all aspects of the assessment against all of the statutory requirements</w:t>
      </w:r>
      <w:r w:rsidR="001F1E55">
        <w:t xml:space="preserve"> in accordance with Section 18 of the Act</w:t>
      </w:r>
      <w:r>
        <w:t xml:space="preserve">. </w:t>
      </w:r>
      <w:r w:rsidR="001B3F87">
        <w:t xml:space="preserve">The approach </w:t>
      </w:r>
      <w:r w:rsidRPr="00387107">
        <w:t xml:space="preserve">has </w:t>
      </w:r>
      <w:r w:rsidR="00143818">
        <w:t xml:space="preserve">given </w:t>
      </w:r>
      <w:r w:rsidRPr="00387107">
        <w:t xml:space="preserve">regard </w:t>
      </w:r>
      <w:r w:rsidR="001F1E55">
        <w:t xml:space="preserve">to the </w:t>
      </w:r>
      <w:r w:rsidR="001F1E55" w:rsidRPr="00387107">
        <w:t>best available science, international consistency and industry trade and competition</w:t>
      </w:r>
      <w:r w:rsidR="001F1E55">
        <w:t xml:space="preserve"> (high level principles</w:t>
      </w:r>
      <w:r w:rsidR="00FB57BD">
        <w:t xml:space="preserve"> in the </w:t>
      </w:r>
      <w:r w:rsidR="00700554">
        <w:t xml:space="preserve">ministerial </w:t>
      </w:r>
      <w:r w:rsidR="00FB57BD">
        <w:t>policy guideline</w:t>
      </w:r>
      <w:r w:rsidR="001F1E55">
        <w:t xml:space="preserve">) as well as </w:t>
      </w:r>
      <w:r w:rsidRPr="00387107">
        <w:t>to the relevant policy guideline</w:t>
      </w:r>
      <w:r w:rsidR="00143818">
        <w:t>s</w:t>
      </w:r>
      <w:r w:rsidRPr="00387107">
        <w:t xml:space="preserve"> in accordance with subsection 18(2) of the Act</w:t>
      </w:r>
      <w:r w:rsidR="001F1E55">
        <w:t xml:space="preserve">. </w:t>
      </w:r>
      <w:r w:rsidRPr="00387107">
        <w:t xml:space="preserve"> </w:t>
      </w:r>
    </w:p>
    <w:p w14:paraId="0CA56129" w14:textId="77777777" w:rsidR="00CD4691" w:rsidRDefault="00CD4691" w:rsidP="00387107"/>
    <w:p w14:paraId="3FDCF316" w14:textId="213DD115" w:rsidR="004D4AD9" w:rsidRDefault="00E529F3" w:rsidP="004D4AD9">
      <w:r w:rsidRPr="007313CD">
        <w:t xml:space="preserve">FSANZ </w:t>
      </w:r>
      <w:r w:rsidR="007A1533">
        <w:t>con</w:t>
      </w:r>
      <w:r w:rsidR="00077826">
        <w:t>cluded</w:t>
      </w:r>
      <w:r w:rsidR="007A1533">
        <w:t xml:space="preserve"> that the </w:t>
      </w:r>
      <w:r w:rsidR="007A1533" w:rsidRPr="007A1533">
        <w:t>permission</w:t>
      </w:r>
      <w:r w:rsidRPr="007313CD">
        <w:t xml:space="preserve"> </w:t>
      </w:r>
      <w:r w:rsidR="007A1533" w:rsidRPr="007313CD">
        <w:t>promot</w:t>
      </w:r>
      <w:r w:rsidR="007A1533">
        <w:t>es</w:t>
      </w:r>
      <w:r w:rsidR="007A1533" w:rsidRPr="007313CD">
        <w:t xml:space="preserve"> </w:t>
      </w:r>
      <w:r w:rsidRPr="007313CD">
        <w:t>consistency between domestic a</w:t>
      </w:r>
      <w:r w:rsidR="007313CD" w:rsidRPr="007313CD">
        <w:t xml:space="preserve">nd international food standards and </w:t>
      </w:r>
      <w:r w:rsidR="007A1533">
        <w:t>supports</w:t>
      </w:r>
      <w:r w:rsidRPr="007313CD">
        <w:t xml:space="preserve"> an efficient and internatio</w:t>
      </w:r>
      <w:r w:rsidR="0070659D">
        <w:t>nally competitive food industry</w:t>
      </w:r>
      <w:r w:rsidR="001F1E55">
        <w:t xml:space="preserve"> as many countries already permit the use of </w:t>
      </w:r>
      <w:r w:rsidR="001F1E55" w:rsidRPr="001B3F87">
        <w:rPr>
          <w:rFonts w:cs="Arial"/>
          <w:szCs w:val="22"/>
        </w:rPr>
        <w:t>2′-FL and LNnT</w:t>
      </w:r>
      <w:r w:rsidR="001F1E55">
        <w:t xml:space="preserve"> in these products.</w:t>
      </w:r>
      <w:r w:rsidR="0070659D">
        <w:t xml:space="preserve"> </w:t>
      </w:r>
      <w:r w:rsidR="004D4AD9" w:rsidRPr="003E7621">
        <w:t xml:space="preserve">The </w:t>
      </w:r>
      <w:r w:rsidR="0070659D">
        <w:t xml:space="preserve">permission for use of 2′-FL and LNnT to be </w:t>
      </w:r>
      <w:r w:rsidR="001F1E55">
        <w:t xml:space="preserve">(i) </w:t>
      </w:r>
      <w:r w:rsidR="0070659D">
        <w:rPr>
          <w:i/>
        </w:rPr>
        <w:t>used as a nutritive substance</w:t>
      </w:r>
      <w:r w:rsidR="0070659D">
        <w:t xml:space="preserve">, and </w:t>
      </w:r>
      <w:r w:rsidR="001F1E55">
        <w:t xml:space="preserve">(ii) </w:t>
      </w:r>
      <w:r w:rsidR="0070659D">
        <w:t xml:space="preserve">as </w:t>
      </w:r>
      <w:r w:rsidR="0070659D">
        <w:rPr>
          <w:i/>
        </w:rPr>
        <w:t>food</w:t>
      </w:r>
      <w:r w:rsidR="0070659D" w:rsidRPr="00192E9C">
        <w:rPr>
          <w:i/>
        </w:rPr>
        <w:t xml:space="preserve"> produced using gene </w:t>
      </w:r>
      <w:r w:rsidR="0070659D" w:rsidRPr="0004799D">
        <w:rPr>
          <w:i/>
        </w:rPr>
        <w:t>technology</w:t>
      </w:r>
      <w:r w:rsidR="0070659D" w:rsidRPr="0004799D">
        <w:t xml:space="preserve"> for use</w:t>
      </w:r>
      <w:r w:rsidR="0070659D">
        <w:t xml:space="preserve"> in infant formula products and FSFYC</w:t>
      </w:r>
      <w:r w:rsidR="0070659D" w:rsidRPr="003E7621">
        <w:t xml:space="preserve"> </w:t>
      </w:r>
      <w:r w:rsidR="004D4AD9" w:rsidRPr="003E7621">
        <w:t xml:space="preserve">supports international consistency and trade opportunities, and provides alternative options to existing oligosaccharides (GOS and ITF) permitted for use in FSFYC </w:t>
      </w:r>
      <w:r w:rsidR="001F1E55">
        <w:t xml:space="preserve">which </w:t>
      </w:r>
      <w:r w:rsidR="004D4AD9">
        <w:t>provid</w:t>
      </w:r>
      <w:r w:rsidR="001F1E55">
        <w:t xml:space="preserve">es </w:t>
      </w:r>
      <w:r w:rsidR="004D4AD9">
        <w:t>product</w:t>
      </w:r>
      <w:r w:rsidR="004D4AD9" w:rsidRPr="003E7621">
        <w:t xml:space="preserve"> innovation opportunities</w:t>
      </w:r>
      <w:r w:rsidR="000F4D7D">
        <w:t>.</w:t>
      </w:r>
      <w:r w:rsidR="004D4AD9" w:rsidRPr="003E7621">
        <w:t xml:space="preserve"> </w:t>
      </w:r>
    </w:p>
    <w:p w14:paraId="2D3EA4ED" w14:textId="77777777" w:rsidR="003B0A65" w:rsidRDefault="003B0A65" w:rsidP="003B0A65">
      <w:pPr>
        <w:widowControl/>
        <w:rPr>
          <w:rFonts w:cs="Arial"/>
          <w:szCs w:val="20"/>
        </w:rPr>
      </w:pPr>
    </w:p>
    <w:p w14:paraId="7CB163A8" w14:textId="5D70D4FF" w:rsidR="001B3F87" w:rsidRPr="008911D8" w:rsidRDefault="001B3F87" w:rsidP="001B3F87">
      <w:pPr>
        <w:pStyle w:val="Default"/>
        <w:rPr>
          <w:rFonts w:ascii="Arial" w:hAnsi="Arial" w:cs="Arial"/>
          <w:sz w:val="22"/>
          <w:szCs w:val="22"/>
        </w:rPr>
      </w:pPr>
      <w:r w:rsidRPr="008911D8">
        <w:rPr>
          <w:rFonts w:ascii="Arial" w:hAnsi="Arial" w:cs="Arial"/>
          <w:sz w:val="22"/>
          <w:szCs w:val="22"/>
        </w:rPr>
        <w:t xml:space="preserve">Having considered the </w:t>
      </w:r>
      <w:r>
        <w:rPr>
          <w:rFonts w:ascii="Arial" w:hAnsi="Arial" w:cs="Arial"/>
          <w:sz w:val="22"/>
          <w:szCs w:val="22"/>
        </w:rPr>
        <w:t>submissions</w:t>
      </w:r>
      <w:r w:rsidRPr="008911D8">
        <w:rPr>
          <w:rFonts w:ascii="Arial" w:hAnsi="Arial" w:cs="Arial"/>
          <w:sz w:val="22"/>
          <w:szCs w:val="22"/>
        </w:rPr>
        <w:t xml:space="preserve"> and weighed all aspects of the assessment against </w:t>
      </w:r>
      <w:r w:rsidR="00143818">
        <w:rPr>
          <w:rFonts w:ascii="Arial" w:hAnsi="Arial" w:cs="Arial"/>
          <w:sz w:val="22"/>
          <w:szCs w:val="22"/>
        </w:rPr>
        <w:t xml:space="preserve">all of the </w:t>
      </w:r>
      <w:r w:rsidRPr="008911D8">
        <w:rPr>
          <w:rFonts w:ascii="Arial" w:hAnsi="Arial" w:cs="Arial"/>
          <w:sz w:val="22"/>
          <w:szCs w:val="22"/>
        </w:rPr>
        <w:t xml:space="preserve">statutory requirements FSANZ </w:t>
      </w:r>
      <w:r>
        <w:rPr>
          <w:rFonts w:ascii="Arial" w:hAnsi="Arial" w:cs="Arial"/>
          <w:sz w:val="22"/>
          <w:szCs w:val="22"/>
        </w:rPr>
        <w:t>approved</w:t>
      </w:r>
      <w:r w:rsidRPr="008911D8">
        <w:rPr>
          <w:rFonts w:ascii="Arial" w:hAnsi="Arial" w:cs="Arial"/>
          <w:sz w:val="22"/>
          <w:szCs w:val="22"/>
        </w:rPr>
        <w:t xml:space="preserve"> a </w:t>
      </w:r>
      <w:r>
        <w:rPr>
          <w:rFonts w:ascii="Arial" w:hAnsi="Arial" w:cs="Arial"/>
          <w:sz w:val="22"/>
          <w:szCs w:val="22"/>
        </w:rPr>
        <w:t xml:space="preserve">draft </w:t>
      </w:r>
      <w:r w:rsidRPr="008911D8">
        <w:rPr>
          <w:rFonts w:ascii="Arial" w:hAnsi="Arial" w:cs="Arial"/>
          <w:sz w:val="22"/>
          <w:szCs w:val="22"/>
        </w:rPr>
        <w:t>variation to the Code.</w:t>
      </w:r>
    </w:p>
    <w:p w14:paraId="1A3D08EB" w14:textId="618302AC" w:rsidR="004D3F3B" w:rsidRPr="00921103" w:rsidRDefault="00D42E32" w:rsidP="005948D8">
      <w:pPr>
        <w:pStyle w:val="Heading3"/>
      </w:pPr>
      <w:bookmarkStart w:id="114" w:name="_Toc22303679"/>
      <w:bookmarkStart w:id="115" w:name="_Toc22650342"/>
      <w:r>
        <w:t>2.3.9</w:t>
      </w:r>
      <w:r>
        <w:tab/>
      </w:r>
      <w:r w:rsidR="004D3F3B" w:rsidRPr="00921103">
        <w:t xml:space="preserve">Summary of </w:t>
      </w:r>
      <w:r w:rsidR="004D3F3B">
        <w:t>the regulatory measures</w:t>
      </w:r>
      <w:bookmarkEnd w:id="114"/>
      <w:bookmarkEnd w:id="115"/>
      <w:r w:rsidR="004D3F3B">
        <w:t xml:space="preserve"> </w:t>
      </w:r>
    </w:p>
    <w:p w14:paraId="429EA74F" w14:textId="1B275097" w:rsidR="004D3F3B" w:rsidRDefault="001F1E55" w:rsidP="004D3F3B">
      <w:r>
        <w:t>To p</w:t>
      </w:r>
      <w:r w:rsidR="004D3F3B">
        <w:t xml:space="preserve">ermit both 2′-FL </w:t>
      </w:r>
      <w:r>
        <w:t xml:space="preserve">with or without </w:t>
      </w:r>
      <w:r w:rsidR="004D3F3B">
        <w:t xml:space="preserve">LNnT to be </w:t>
      </w:r>
      <w:r w:rsidR="004D3F3B">
        <w:rPr>
          <w:i/>
        </w:rPr>
        <w:t>used as a nutritive substance</w:t>
      </w:r>
      <w:r w:rsidR="004D3F3B">
        <w:t xml:space="preserve">, and </w:t>
      </w:r>
      <w:r>
        <w:t xml:space="preserve">also </w:t>
      </w:r>
      <w:r w:rsidR="004D3F3B">
        <w:t xml:space="preserve">as </w:t>
      </w:r>
      <w:r w:rsidR="004D3F3B">
        <w:rPr>
          <w:i/>
        </w:rPr>
        <w:t>food</w:t>
      </w:r>
      <w:r w:rsidR="004D3F3B" w:rsidRPr="00192E9C">
        <w:rPr>
          <w:i/>
        </w:rPr>
        <w:t xml:space="preserve"> produced using gene </w:t>
      </w:r>
      <w:r w:rsidR="004D3F3B" w:rsidRPr="0004799D">
        <w:rPr>
          <w:i/>
        </w:rPr>
        <w:t xml:space="preserve">technology </w:t>
      </w:r>
      <w:r w:rsidR="004D3F3B" w:rsidRPr="0004799D">
        <w:t>linked to the gene-gene donor information specific to the production of the oligosaccharides, for use</w:t>
      </w:r>
      <w:r w:rsidR="004D3F3B">
        <w:t xml:space="preserve"> in infant formula products and FSFYC</w:t>
      </w:r>
    </w:p>
    <w:p w14:paraId="0EC11F49" w14:textId="3BEA7379" w:rsidR="004D3F3B" w:rsidRDefault="004D3F3B" w:rsidP="004D3F3B"/>
    <w:p w14:paraId="0B777B0B" w14:textId="79BE86AA" w:rsidR="004D3F3B" w:rsidRDefault="00D3430A" w:rsidP="00581D5D">
      <w:pPr>
        <w:keepNext/>
        <w:keepLines/>
        <w:rPr>
          <w:i/>
        </w:rPr>
      </w:pPr>
      <w:r>
        <w:rPr>
          <w:i/>
        </w:rPr>
        <w:t xml:space="preserve">At </w:t>
      </w:r>
      <w:r w:rsidR="004D3F3B" w:rsidRPr="00D50475">
        <w:rPr>
          <w:i/>
        </w:rPr>
        <w:t xml:space="preserve">the following maximum levels </w:t>
      </w:r>
    </w:p>
    <w:p w14:paraId="628A92C2" w14:textId="77777777" w:rsidR="004D3F3B" w:rsidRDefault="004D3F3B" w:rsidP="00581D5D">
      <w:pPr>
        <w:pStyle w:val="FSBullet2"/>
        <w:keepNext/>
        <w:keepLines/>
        <w:numPr>
          <w:ilvl w:val="0"/>
          <w:numId w:val="0"/>
        </w:numPr>
        <w:ind w:left="1134" w:hanging="567"/>
      </w:pPr>
      <w:r>
        <w:t xml:space="preserve">Infant formula products: </w:t>
      </w:r>
    </w:p>
    <w:p w14:paraId="792CF710" w14:textId="7ADC0D25" w:rsidR="004D3F3B" w:rsidRPr="008E4634" w:rsidRDefault="004D3F3B" w:rsidP="00581D5D">
      <w:pPr>
        <w:pStyle w:val="FSBullet3"/>
        <w:keepLines/>
        <w:numPr>
          <w:ilvl w:val="0"/>
          <w:numId w:val="36"/>
        </w:numPr>
        <w:ind w:left="930"/>
        <w:rPr>
          <w:b/>
        </w:rPr>
      </w:pPr>
      <w:r w:rsidRPr="008E4634">
        <w:t>If only 2</w:t>
      </w:r>
      <w:r>
        <w:t>′</w:t>
      </w:r>
      <w:r w:rsidRPr="008E4634">
        <w:t>-FL added – no</w:t>
      </w:r>
      <w:r>
        <w:t>t</w:t>
      </w:r>
      <w:r w:rsidRPr="008E4634">
        <w:t xml:space="preserve"> more than 96 mg/100 kJ of 2</w:t>
      </w:r>
      <w:r>
        <w:t>′</w:t>
      </w:r>
      <w:r w:rsidRPr="008E4634">
        <w:t>-FL</w:t>
      </w:r>
      <w:r w:rsidR="00D3430A">
        <w:t xml:space="preserve"> (equivalent to 2.4 g/L)</w:t>
      </w:r>
    </w:p>
    <w:p w14:paraId="4D0F11CE" w14:textId="03B50129" w:rsidR="004D3F3B" w:rsidRPr="00C82048" w:rsidRDefault="004D3F3B" w:rsidP="00581D5D">
      <w:pPr>
        <w:pStyle w:val="FSBullet3"/>
        <w:keepLines/>
        <w:numPr>
          <w:ilvl w:val="0"/>
          <w:numId w:val="36"/>
        </w:numPr>
        <w:ind w:left="930"/>
        <w:rPr>
          <w:b/>
        </w:rPr>
      </w:pPr>
      <w:r w:rsidRPr="008E4634">
        <w:t xml:space="preserve">If </w:t>
      </w:r>
      <w:r>
        <w:t xml:space="preserve">both </w:t>
      </w:r>
      <w:r w:rsidRPr="008E4634">
        <w:t>2</w:t>
      </w:r>
      <w:r>
        <w:t>′</w:t>
      </w:r>
      <w:r w:rsidRPr="008E4634">
        <w:t>-FL and LNnT added – no</w:t>
      </w:r>
      <w:r>
        <w:t>t</w:t>
      </w:r>
      <w:r w:rsidRPr="008E4634">
        <w:t xml:space="preserve"> more than 96 mg/100 kJ of 2</w:t>
      </w:r>
      <w:r>
        <w:t>′</w:t>
      </w:r>
      <w:r w:rsidRPr="008E4634">
        <w:t xml:space="preserve">-FL </w:t>
      </w:r>
      <w:r>
        <w:t>and LNnT combined</w:t>
      </w:r>
      <w:r w:rsidR="00B07F92">
        <w:t xml:space="preserve"> (equivalent to 2.4 g/L)</w:t>
      </w:r>
      <w:r>
        <w:t xml:space="preserve">, of which contains not more than </w:t>
      </w:r>
      <w:r w:rsidRPr="008E4634">
        <w:t>24 mg/100 kJ of LNnT</w:t>
      </w:r>
      <w:r w:rsidR="00D3430A">
        <w:t xml:space="preserve"> (equivalent to 0.6 g/L)</w:t>
      </w:r>
      <w:r w:rsidRPr="008E4634">
        <w:t>.</w:t>
      </w:r>
    </w:p>
    <w:p w14:paraId="562AE261" w14:textId="77777777" w:rsidR="004D3F3B" w:rsidRPr="00403E4D" w:rsidRDefault="004D3F3B" w:rsidP="00581D5D">
      <w:pPr>
        <w:keepNext/>
        <w:keepLines/>
      </w:pPr>
    </w:p>
    <w:p w14:paraId="463B7536" w14:textId="77777777" w:rsidR="004D3F3B" w:rsidRDefault="004D3F3B" w:rsidP="004D3F3B">
      <w:pPr>
        <w:pStyle w:val="FSBullet2"/>
        <w:numPr>
          <w:ilvl w:val="0"/>
          <w:numId w:val="0"/>
        </w:numPr>
        <w:ind w:left="1134" w:hanging="567"/>
      </w:pPr>
      <w:r>
        <w:t>FSFYC:</w:t>
      </w:r>
    </w:p>
    <w:p w14:paraId="720C6784" w14:textId="044DEFEF" w:rsidR="004D3F3B" w:rsidRPr="008E4634" w:rsidRDefault="004D3F3B" w:rsidP="004D3F3B">
      <w:pPr>
        <w:pStyle w:val="FSBullet3"/>
        <w:numPr>
          <w:ilvl w:val="0"/>
          <w:numId w:val="37"/>
        </w:numPr>
        <w:rPr>
          <w:b/>
        </w:rPr>
      </w:pPr>
      <w:r w:rsidRPr="008E4634">
        <w:t>If only 2</w:t>
      </w:r>
      <w:r>
        <w:t>′</w:t>
      </w:r>
      <w:r w:rsidRPr="008E4634">
        <w:t>-FL added – no</w:t>
      </w:r>
      <w:r>
        <w:t>t</w:t>
      </w:r>
      <w:r w:rsidRPr="008E4634">
        <w:t xml:space="preserve"> more than 0.5</w:t>
      </w:r>
      <w:r>
        <w:t>5</w:t>
      </w:r>
      <w:r w:rsidRPr="008E4634">
        <w:t xml:space="preserve"> g/serving</w:t>
      </w:r>
      <w:r w:rsidR="00D3430A">
        <w:t xml:space="preserve"> (equivalent to 2.4 g/L)</w:t>
      </w:r>
    </w:p>
    <w:p w14:paraId="60EC170E" w14:textId="15C1BC98" w:rsidR="004D3F3B" w:rsidRDefault="004D3F3B" w:rsidP="004D3F3B">
      <w:pPr>
        <w:pStyle w:val="FSBullet3"/>
        <w:numPr>
          <w:ilvl w:val="0"/>
          <w:numId w:val="37"/>
        </w:numPr>
        <w:rPr>
          <w:b/>
        </w:rPr>
      </w:pPr>
      <w:r w:rsidRPr="008E4634">
        <w:t xml:space="preserve">If </w:t>
      </w:r>
      <w:r>
        <w:t xml:space="preserve">both </w:t>
      </w:r>
      <w:r w:rsidRPr="008E4634">
        <w:t>2</w:t>
      </w:r>
      <w:r>
        <w:t>′</w:t>
      </w:r>
      <w:r w:rsidRPr="008E4634">
        <w:t>-FL and LNnT added – no</w:t>
      </w:r>
      <w:r>
        <w:t>t</w:t>
      </w:r>
      <w:r w:rsidRPr="008E4634">
        <w:t xml:space="preserve"> more than 0.5</w:t>
      </w:r>
      <w:r>
        <w:t>5</w:t>
      </w:r>
      <w:r w:rsidRPr="008E4634">
        <w:t xml:space="preserve"> g/serving </w:t>
      </w:r>
      <w:r>
        <w:t xml:space="preserve">of 2′-FL and LNnT combined, of which contains not more than </w:t>
      </w:r>
      <w:r w:rsidRPr="008E4634">
        <w:t>0.14 g/serving of LNnT</w:t>
      </w:r>
      <w:r w:rsidR="00D3430A">
        <w:t xml:space="preserve"> (equivalent to 0.6 g/L)</w:t>
      </w:r>
      <w:r w:rsidRPr="008E4634">
        <w:t>.</w:t>
      </w:r>
    </w:p>
    <w:p w14:paraId="2C5CCC3D" w14:textId="7CCB7012" w:rsidR="004D3F3B" w:rsidRDefault="004D3F3B" w:rsidP="004D3F3B">
      <w:pPr>
        <w:rPr>
          <w:lang w:bidi="ar-SA"/>
        </w:rPr>
      </w:pPr>
    </w:p>
    <w:p w14:paraId="44BF9DE9" w14:textId="77777777" w:rsidR="004D3F3B" w:rsidRDefault="004D3F3B" w:rsidP="004D3F3B">
      <w:pPr>
        <w:pStyle w:val="FSBullet1"/>
        <w:numPr>
          <w:ilvl w:val="0"/>
          <w:numId w:val="5"/>
        </w:numPr>
        <w:ind w:left="567" w:hanging="567"/>
      </w:pPr>
      <w:r w:rsidRPr="003139B2">
        <w:t xml:space="preserve">Prohibit the </w:t>
      </w:r>
      <w:r>
        <w:t>use of 2′-FL alone or with LNnT</w:t>
      </w:r>
      <w:r w:rsidRPr="003139B2">
        <w:t xml:space="preserve"> in combination with existing permissions for GOS and ITF</w:t>
      </w:r>
      <w:r>
        <w:t xml:space="preserve"> for infant formula products and FSFYC (i.e. permissions for</w:t>
      </w:r>
      <w:r w:rsidRPr="003139B2">
        <w:t xml:space="preserve"> 2</w:t>
      </w:r>
      <w:r>
        <w:t>′-FL and LNnT</w:t>
      </w:r>
      <w:r w:rsidRPr="003139B2">
        <w:t xml:space="preserve"> would be </w:t>
      </w:r>
      <w:r>
        <w:t xml:space="preserve">used as </w:t>
      </w:r>
      <w:r w:rsidRPr="003139B2">
        <w:t>alternative</w:t>
      </w:r>
      <w:r>
        <w:t>s</w:t>
      </w:r>
      <w:r w:rsidRPr="003139B2">
        <w:t xml:space="preserve"> to </w:t>
      </w:r>
      <w:r>
        <w:t>GOS and ITF)</w:t>
      </w:r>
      <w:r w:rsidRPr="003139B2">
        <w:t>.</w:t>
      </w:r>
    </w:p>
    <w:p w14:paraId="0619BB0E" w14:textId="77777777" w:rsidR="004D3F3B" w:rsidRDefault="004D3F3B" w:rsidP="004D3F3B"/>
    <w:p w14:paraId="2429BF89" w14:textId="77777777" w:rsidR="004D3F3B" w:rsidRPr="003E7621" w:rsidRDefault="004D3F3B" w:rsidP="004D3F3B">
      <w:pPr>
        <w:pStyle w:val="FSBullet1"/>
        <w:numPr>
          <w:ilvl w:val="0"/>
          <w:numId w:val="5"/>
        </w:numPr>
        <w:ind w:left="567" w:hanging="567"/>
      </w:pPr>
      <w:r w:rsidRPr="003E7621">
        <w:t>Prohibit the following terms on the label of infant formula products and FSFYC:</w:t>
      </w:r>
    </w:p>
    <w:p w14:paraId="70A5AE21" w14:textId="77777777" w:rsidR="004D3F3B" w:rsidRPr="003E7621" w:rsidRDefault="004D3F3B" w:rsidP="004D3F3B">
      <w:pPr>
        <w:pStyle w:val="FSBullet3"/>
        <w:numPr>
          <w:ilvl w:val="0"/>
          <w:numId w:val="34"/>
        </w:numPr>
        <w:rPr>
          <w:b/>
        </w:rPr>
      </w:pPr>
      <w:r w:rsidRPr="003E7621">
        <w:t xml:space="preserve">the words ‘human milk oligosaccharide’, ‘human milk identical oligosaccharide’ or any word or words having the same or similar effect </w:t>
      </w:r>
    </w:p>
    <w:p w14:paraId="1F160D25" w14:textId="77777777" w:rsidR="004D3F3B" w:rsidRPr="003E7621" w:rsidRDefault="004D3F3B" w:rsidP="004D3F3B">
      <w:pPr>
        <w:pStyle w:val="FSBullet3"/>
        <w:numPr>
          <w:ilvl w:val="0"/>
          <w:numId w:val="34"/>
        </w:numPr>
        <w:rPr>
          <w:b/>
        </w:rPr>
      </w:pPr>
      <w:r w:rsidRPr="003E7621">
        <w:t>the abbreviations ‘HMO’ or ‘HiMO’ or any abbreviation having the same or similar effect.</w:t>
      </w:r>
    </w:p>
    <w:p w14:paraId="2C030050" w14:textId="77777777" w:rsidR="004D3F3B" w:rsidRPr="003E7621" w:rsidRDefault="004D3F3B" w:rsidP="004D3F3B">
      <w:pPr>
        <w:rPr>
          <w:lang w:bidi="ar-SA"/>
        </w:rPr>
      </w:pPr>
    </w:p>
    <w:p w14:paraId="0A2FB590" w14:textId="77777777" w:rsidR="004D3F3B" w:rsidRPr="003E7621" w:rsidRDefault="004D3F3B" w:rsidP="004D3F3B">
      <w:pPr>
        <w:pStyle w:val="FSBullet1"/>
        <w:numPr>
          <w:ilvl w:val="0"/>
          <w:numId w:val="5"/>
        </w:numPr>
        <w:ind w:left="567" w:hanging="567"/>
      </w:pPr>
      <w:r w:rsidRPr="003E7621">
        <w:t>Set specifications for 2′-FL and LNnT based on the specifications provided by the applicant (without specific methods of analysis).</w:t>
      </w:r>
    </w:p>
    <w:p w14:paraId="63550723" w14:textId="77777777" w:rsidR="004D3F3B" w:rsidRPr="003E7621" w:rsidRDefault="004D3F3B" w:rsidP="004D3F3B">
      <w:pPr>
        <w:rPr>
          <w:lang w:bidi="ar-SA"/>
        </w:rPr>
      </w:pPr>
    </w:p>
    <w:p w14:paraId="4FFFC1E6" w14:textId="4045E4B6" w:rsidR="004D3F3B" w:rsidRPr="003E7621" w:rsidRDefault="004D3F3B" w:rsidP="004D3F3B">
      <w:pPr>
        <w:pStyle w:val="FSBullet1"/>
        <w:numPr>
          <w:ilvl w:val="0"/>
          <w:numId w:val="5"/>
        </w:numPr>
        <w:ind w:left="567" w:hanging="567"/>
      </w:pPr>
      <w:r w:rsidRPr="003E7621">
        <w:t>Provide 15 months exclusivity from the date of gazettal of the variation for the applicant’s brand</w:t>
      </w:r>
      <w:r w:rsidR="00D3430A">
        <w:t>’s</w:t>
      </w:r>
      <w:r w:rsidRPr="003E7621">
        <w:t xml:space="preserve"> of 2′-FL and LNnT.</w:t>
      </w:r>
    </w:p>
    <w:p w14:paraId="26029DA4" w14:textId="16A3134F" w:rsidR="002C1A3B" w:rsidRPr="008C301D" w:rsidRDefault="002C1A3B" w:rsidP="002C1A3B">
      <w:pPr>
        <w:pStyle w:val="Heading2"/>
      </w:pPr>
      <w:bookmarkStart w:id="116" w:name="_Toc22303680"/>
      <w:bookmarkStart w:id="117" w:name="_Toc22650343"/>
      <w:r>
        <w:t>2</w:t>
      </w:r>
      <w:r w:rsidRPr="008C301D">
        <w:t>.</w:t>
      </w:r>
      <w:r>
        <w:t>4</w:t>
      </w:r>
      <w:r w:rsidRPr="008C301D">
        <w:tab/>
        <w:t>Risk communication</w:t>
      </w:r>
      <w:bookmarkEnd w:id="105"/>
      <w:bookmarkEnd w:id="106"/>
      <w:bookmarkEnd w:id="116"/>
      <w:bookmarkEnd w:id="117"/>
      <w:r w:rsidRPr="008C301D">
        <w:t xml:space="preserve"> </w:t>
      </w:r>
    </w:p>
    <w:p w14:paraId="4D66640F" w14:textId="77777777" w:rsidR="002C1A3B" w:rsidRPr="00020CB3" w:rsidRDefault="002C1A3B" w:rsidP="002C1A3B">
      <w:pPr>
        <w:pStyle w:val="Heading3"/>
      </w:pPr>
      <w:bookmarkStart w:id="118" w:name="_Toc300933437"/>
      <w:bookmarkStart w:id="119" w:name="_Toc370223475"/>
      <w:bookmarkStart w:id="120" w:name="_Toc370225390"/>
      <w:bookmarkStart w:id="121" w:name="_Toc22303681"/>
      <w:bookmarkStart w:id="122" w:name="_Toc22650344"/>
      <w:r w:rsidRPr="00020CB3">
        <w:t>2.4.1</w:t>
      </w:r>
      <w:r w:rsidRPr="00020CB3">
        <w:tab/>
        <w:t>Consultation</w:t>
      </w:r>
      <w:bookmarkEnd w:id="118"/>
      <w:bookmarkEnd w:id="119"/>
      <w:bookmarkEnd w:id="120"/>
      <w:bookmarkEnd w:id="121"/>
      <w:bookmarkEnd w:id="122"/>
    </w:p>
    <w:p w14:paraId="1A050FE5" w14:textId="377C4EAB" w:rsidR="00020CB3" w:rsidRPr="002A7881" w:rsidRDefault="002C1A3B" w:rsidP="00F31108">
      <w:pPr>
        <w:rPr>
          <w:rFonts w:cs="Arial"/>
          <w:color w:val="000000"/>
        </w:rPr>
      </w:pPr>
      <w:r w:rsidRPr="00A670A7">
        <w:rPr>
          <w:szCs w:val="22"/>
        </w:rPr>
        <w:t xml:space="preserve">Consultation is a key part of FSANZ’s standards development process. </w:t>
      </w:r>
      <w:r w:rsidR="00D3430A">
        <w:rPr>
          <w:rFonts w:cs="Arial"/>
          <w:color w:val="000000"/>
        </w:rPr>
        <w:t xml:space="preserve">FSANZ </w:t>
      </w:r>
      <w:r w:rsidR="00020CB3" w:rsidRPr="002A7881">
        <w:rPr>
          <w:rFonts w:cs="Arial"/>
          <w:color w:val="000000"/>
        </w:rPr>
        <w:t xml:space="preserve">developed </w:t>
      </w:r>
      <w:r w:rsidR="00020CB3">
        <w:rPr>
          <w:rFonts w:cs="Arial"/>
          <w:color w:val="000000"/>
        </w:rPr>
        <w:t>a communication</w:t>
      </w:r>
      <w:r w:rsidR="00020CB3" w:rsidRPr="002A7881">
        <w:rPr>
          <w:rFonts w:cs="Arial"/>
          <w:color w:val="000000"/>
        </w:rPr>
        <w:t xml:space="preserve"> strategy </w:t>
      </w:r>
      <w:r w:rsidR="00020CB3">
        <w:rPr>
          <w:rFonts w:cs="Arial"/>
          <w:color w:val="000000"/>
        </w:rPr>
        <w:t>for</w:t>
      </w:r>
      <w:r w:rsidR="00020CB3" w:rsidRPr="002A7881">
        <w:rPr>
          <w:rFonts w:cs="Arial"/>
          <w:color w:val="000000"/>
        </w:rPr>
        <w:t xml:space="preserve"> this application. Subscribers and interested parties </w:t>
      </w:r>
      <w:r w:rsidR="00020CB3">
        <w:rPr>
          <w:rFonts w:cs="Arial"/>
          <w:color w:val="000000"/>
        </w:rPr>
        <w:t xml:space="preserve">were </w:t>
      </w:r>
      <w:r w:rsidR="00020CB3" w:rsidRPr="002A7881">
        <w:rPr>
          <w:rFonts w:cs="Arial"/>
          <w:color w:val="000000"/>
        </w:rPr>
        <w:t xml:space="preserve">notified about </w:t>
      </w:r>
      <w:r w:rsidR="00020CB3">
        <w:rPr>
          <w:rFonts w:cs="Arial"/>
          <w:color w:val="000000"/>
        </w:rPr>
        <w:t xml:space="preserve">public consultation periods </w:t>
      </w:r>
      <w:r w:rsidR="00020CB3" w:rsidRPr="002A7881">
        <w:rPr>
          <w:rFonts w:cs="Arial"/>
          <w:color w:val="000000"/>
        </w:rPr>
        <w:t>via the FSANZ Notification Circular, media release and through FSANZ’s social media tools and Food Standards News.</w:t>
      </w:r>
    </w:p>
    <w:p w14:paraId="4F3F7711" w14:textId="77777777" w:rsidR="00020CB3" w:rsidRPr="00535F8F" w:rsidRDefault="00020CB3" w:rsidP="00020CB3"/>
    <w:p w14:paraId="50C7ADD4" w14:textId="592588BA" w:rsidR="00020CB3" w:rsidRDefault="00020CB3" w:rsidP="00020CB3">
      <w:pPr>
        <w:widowControl/>
        <w:rPr>
          <w:szCs w:val="22"/>
        </w:rPr>
      </w:pPr>
      <w:r w:rsidRPr="003E7621">
        <w:rPr>
          <w:szCs w:val="22"/>
        </w:rPr>
        <w:t>FSANZ sought submissions to its preliminary position in the 1</w:t>
      </w:r>
      <w:r w:rsidRPr="003E7621">
        <w:rPr>
          <w:szCs w:val="22"/>
          <w:vertAlign w:val="superscript"/>
        </w:rPr>
        <w:t>st</w:t>
      </w:r>
      <w:r w:rsidRPr="003E7621">
        <w:rPr>
          <w:szCs w:val="22"/>
        </w:rPr>
        <w:t xml:space="preserve"> CFS from 22 November 2018 – 17 January 2019. </w:t>
      </w:r>
      <w:r w:rsidR="00C54CCA">
        <w:rPr>
          <w:szCs w:val="22"/>
        </w:rPr>
        <w:t>12</w:t>
      </w:r>
      <w:r w:rsidRPr="003E7621">
        <w:rPr>
          <w:szCs w:val="22"/>
        </w:rPr>
        <w:t xml:space="preserve"> submissions were received. </w:t>
      </w:r>
    </w:p>
    <w:p w14:paraId="168842A5" w14:textId="77777777" w:rsidR="00020CB3" w:rsidRDefault="00020CB3" w:rsidP="00020CB3">
      <w:pPr>
        <w:widowControl/>
        <w:rPr>
          <w:szCs w:val="22"/>
        </w:rPr>
      </w:pPr>
    </w:p>
    <w:p w14:paraId="625A7B4E" w14:textId="50B42DED" w:rsidR="00020CB3" w:rsidRDefault="00020CB3" w:rsidP="00020CB3">
      <w:pPr>
        <w:widowControl/>
        <w:rPr>
          <w:szCs w:val="22"/>
        </w:rPr>
      </w:pPr>
      <w:r>
        <w:rPr>
          <w:szCs w:val="22"/>
        </w:rPr>
        <w:t xml:space="preserve">FSANZ sought submissions </w:t>
      </w:r>
      <w:r w:rsidRPr="008D72EC">
        <w:rPr>
          <w:szCs w:val="22"/>
        </w:rPr>
        <w:t>to the proposed draft variation in the 2</w:t>
      </w:r>
      <w:r w:rsidRPr="008D72EC">
        <w:rPr>
          <w:szCs w:val="22"/>
          <w:vertAlign w:val="superscript"/>
        </w:rPr>
        <w:t>nd</w:t>
      </w:r>
      <w:r w:rsidRPr="008D72EC">
        <w:rPr>
          <w:szCs w:val="22"/>
        </w:rPr>
        <w:t xml:space="preserve"> CFS from 22</w:t>
      </w:r>
      <w:r w:rsidR="008D72EC" w:rsidRPr="008D72EC">
        <w:rPr>
          <w:szCs w:val="22"/>
        </w:rPr>
        <w:t xml:space="preserve"> July 2019 – 2 September 2019. </w:t>
      </w:r>
      <w:r w:rsidR="008D72EC">
        <w:rPr>
          <w:szCs w:val="22"/>
        </w:rPr>
        <w:t>2</w:t>
      </w:r>
      <w:r w:rsidR="008F2861">
        <w:rPr>
          <w:szCs w:val="22"/>
        </w:rPr>
        <w:t>0</w:t>
      </w:r>
      <w:r w:rsidR="008D72EC">
        <w:rPr>
          <w:szCs w:val="22"/>
        </w:rPr>
        <w:t xml:space="preserve"> submissions </w:t>
      </w:r>
      <w:r w:rsidRPr="008D72EC">
        <w:rPr>
          <w:szCs w:val="22"/>
        </w:rPr>
        <w:t xml:space="preserve">were received. </w:t>
      </w:r>
    </w:p>
    <w:p w14:paraId="17647203" w14:textId="77777777" w:rsidR="00020CB3" w:rsidRPr="003E7621" w:rsidRDefault="00020CB3" w:rsidP="00020CB3">
      <w:pPr>
        <w:rPr>
          <w:szCs w:val="22"/>
        </w:rPr>
      </w:pPr>
    </w:p>
    <w:p w14:paraId="0376A852" w14:textId="4DEA35BE" w:rsidR="00020CB3" w:rsidRPr="003E7621" w:rsidRDefault="00020CB3" w:rsidP="00020CB3">
      <w:pPr>
        <w:widowControl/>
        <w:rPr>
          <w:szCs w:val="22"/>
        </w:rPr>
      </w:pPr>
      <w:r w:rsidRPr="003E7621">
        <w:rPr>
          <w:szCs w:val="22"/>
        </w:rPr>
        <w:t>FSANZ acknowledges the time taken by individuals and organisations to make submissions on this application. All comments are valued and contribute</w:t>
      </w:r>
      <w:r w:rsidR="00D3430A">
        <w:rPr>
          <w:szCs w:val="22"/>
        </w:rPr>
        <w:t>d</w:t>
      </w:r>
      <w:r w:rsidRPr="003E7621">
        <w:rPr>
          <w:szCs w:val="22"/>
        </w:rPr>
        <w:t xml:space="preserve"> to the rigour of our assessment.</w:t>
      </w:r>
    </w:p>
    <w:p w14:paraId="5E7D86A7" w14:textId="77777777" w:rsidR="009A7E61" w:rsidRPr="003E7621" w:rsidRDefault="009A7E61" w:rsidP="009A7E61">
      <w:pPr>
        <w:pStyle w:val="Heading4"/>
      </w:pPr>
      <w:r w:rsidRPr="003E7621">
        <w:t xml:space="preserve">2.4.1.1 </w:t>
      </w:r>
      <w:r w:rsidRPr="003E7621">
        <w:tab/>
        <w:t>Targeted consultation</w:t>
      </w:r>
    </w:p>
    <w:p w14:paraId="10A3A2BE" w14:textId="77777777" w:rsidR="009A7E61" w:rsidRPr="003E7621" w:rsidRDefault="009A7E61" w:rsidP="009A7E61">
      <w:pPr>
        <w:widowControl/>
        <w:rPr>
          <w:rFonts w:cs="Arial"/>
          <w:szCs w:val="22"/>
        </w:rPr>
      </w:pPr>
      <w:r w:rsidRPr="003E7621">
        <w:rPr>
          <w:rFonts w:cs="Arial"/>
          <w:szCs w:val="22"/>
        </w:rPr>
        <w:t xml:space="preserve">FSANZ undertook targeted consultation with </w:t>
      </w:r>
      <w:r>
        <w:rPr>
          <w:rFonts w:cs="Arial"/>
          <w:szCs w:val="22"/>
        </w:rPr>
        <w:t xml:space="preserve">the applicant and with </w:t>
      </w:r>
      <w:r w:rsidRPr="003E7621">
        <w:rPr>
          <w:rFonts w:cs="Arial"/>
          <w:szCs w:val="22"/>
        </w:rPr>
        <w:t>jurisdictions in May 2019 to discuss FSANZ’s preliminary position at 1</w:t>
      </w:r>
      <w:r w:rsidRPr="003E7621">
        <w:rPr>
          <w:rFonts w:cs="Arial"/>
          <w:szCs w:val="22"/>
          <w:vertAlign w:val="superscript"/>
        </w:rPr>
        <w:t>st</w:t>
      </w:r>
      <w:r w:rsidRPr="003E7621">
        <w:rPr>
          <w:rFonts w:cs="Arial"/>
          <w:szCs w:val="22"/>
        </w:rPr>
        <w:t xml:space="preserve"> CFS and issues raised in submissions. FSANZ has considered the issues discussed in targeted consultations in its assessment.</w:t>
      </w:r>
    </w:p>
    <w:p w14:paraId="14BBA91D" w14:textId="77777777" w:rsidR="002C1A3B" w:rsidRPr="009A7E61" w:rsidRDefault="002C1A3B" w:rsidP="002C1A3B">
      <w:pPr>
        <w:pStyle w:val="Heading3"/>
      </w:pPr>
      <w:bookmarkStart w:id="123" w:name="_Toc370225391"/>
      <w:bookmarkStart w:id="124" w:name="_Toc22303682"/>
      <w:bookmarkStart w:id="125" w:name="_Toc22650345"/>
      <w:bookmarkStart w:id="126" w:name="_Toc175381455"/>
      <w:bookmarkEnd w:id="58"/>
      <w:bookmarkEnd w:id="59"/>
      <w:bookmarkEnd w:id="60"/>
      <w:bookmarkEnd w:id="61"/>
      <w:bookmarkEnd w:id="62"/>
      <w:bookmarkEnd w:id="63"/>
      <w:bookmarkEnd w:id="107"/>
      <w:r w:rsidRPr="009A7E61">
        <w:t>2.4.2</w:t>
      </w:r>
      <w:r w:rsidRPr="009A7E61">
        <w:tab/>
        <w:t>World Trade Organization (WTO)</w:t>
      </w:r>
      <w:bookmarkEnd w:id="123"/>
      <w:bookmarkEnd w:id="124"/>
      <w:bookmarkEnd w:id="125"/>
    </w:p>
    <w:p w14:paraId="74662431" w14:textId="77777777" w:rsidR="009A7E61" w:rsidRPr="003E7621" w:rsidRDefault="009A7E61" w:rsidP="009A7E61">
      <w:pPr>
        <w:rPr>
          <w:rFonts w:cs="Arial"/>
          <w:color w:val="000000"/>
        </w:rPr>
      </w:pPr>
      <w:bookmarkStart w:id="127" w:name="_Toc370223477"/>
      <w:bookmarkStart w:id="128" w:name="_Toc370225392"/>
      <w:bookmarkStart w:id="129" w:name="_Toc309291816"/>
      <w:bookmarkStart w:id="130" w:name="_Toc300933448"/>
      <w:bookmarkStart w:id="131" w:name="_Toc300933577"/>
      <w:bookmarkStart w:id="132" w:name="_Toc301535601"/>
      <w:bookmarkStart w:id="133" w:name="_Toc309385464"/>
      <w:bookmarkStart w:id="134" w:name="_Toc175381456"/>
      <w:bookmarkEnd w:id="126"/>
      <w:r w:rsidRPr="003E7621">
        <w:rPr>
          <w:rFonts w:cs="Arial"/>
          <w:color w:val="000000"/>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0D874EF9" w14:textId="77777777" w:rsidR="009A7E61" w:rsidRPr="003E7621" w:rsidRDefault="009A7E61" w:rsidP="009A7E61">
      <w:pPr>
        <w:rPr>
          <w:rFonts w:cs="Arial"/>
          <w:color w:val="000000"/>
        </w:rPr>
      </w:pPr>
    </w:p>
    <w:p w14:paraId="1AED5630" w14:textId="409FFF1C" w:rsidR="009A7E61" w:rsidRPr="003E7621" w:rsidRDefault="009A7E61" w:rsidP="009A7E61">
      <w:pPr>
        <w:tabs>
          <w:tab w:val="left" w:pos="1560"/>
        </w:tabs>
        <w:rPr>
          <w:rFonts w:cs="Arial"/>
          <w:iCs/>
        </w:rPr>
      </w:pPr>
      <w:r w:rsidRPr="003E7621">
        <w:rPr>
          <w:rFonts w:cs="Arial"/>
        </w:rPr>
        <w:t xml:space="preserve">There are relevant overseas standards and amending the Code to permit the addition of 2′-FL alone or with LNnT to infant formula products and FSFYC as proposed is unlikely to have a significant effect on international trade as these substances are already permitted in similar products </w:t>
      </w:r>
      <w:r w:rsidR="00D3430A">
        <w:rPr>
          <w:rFonts w:cs="Arial"/>
        </w:rPr>
        <w:t xml:space="preserve">in some countries </w:t>
      </w:r>
      <w:r w:rsidRPr="003E7621">
        <w:rPr>
          <w:rFonts w:cs="Arial"/>
        </w:rPr>
        <w:t xml:space="preserve">overseas. The proposed permission in the Code may provide some trade opportunities. </w:t>
      </w:r>
      <w:r w:rsidRPr="003E7621">
        <w:rPr>
          <w:rFonts w:cs="Arial"/>
          <w:iCs/>
        </w:rPr>
        <w:t xml:space="preserve">Therefore, a notification to the WTO under </w:t>
      </w:r>
      <w:r w:rsidRPr="003E7621">
        <w:rPr>
          <w:rFonts w:cs="Arial"/>
        </w:rPr>
        <w:t>Australia’s and New Zealand’s</w:t>
      </w:r>
      <w:r w:rsidRPr="003E7621">
        <w:rPr>
          <w:rFonts w:cs="Arial"/>
          <w:iCs/>
        </w:rPr>
        <w:t xml:space="preserve"> obligations under the WTO Technical Barriers to Trade or Application of Sanitary and Phytosanitary Measures Agreement was not considered necessary.</w:t>
      </w:r>
    </w:p>
    <w:p w14:paraId="7BB973DD" w14:textId="77777777" w:rsidR="002C1A3B" w:rsidRPr="002C1A3B" w:rsidRDefault="002C1A3B" w:rsidP="002C1A3B">
      <w:pPr>
        <w:pStyle w:val="Heading2"/>
      </w:pPr>
      <w:bookmarkStart w:id="135" w:name="_Toc22303683"/>
      <w:bookmarkStart w:id="136" w:name="_Toc22650346"/>
      <w:r w:rsidRPr="002C1A3B">
        <w:t>2.5</w:t>
      </w:r>
      <w:r w:rsidRPr="002C1A3B">
        <w:tab/>
        <w:t>FSANZ Act assessment requirements</w:t>
      </w:r>
      <w:bookmarkEnd w:id="127"/>
      <w:bookmarkEnd w:id="128"/>
      <w:bookmarkEnd w:id="135"/>
      <w:bookmarkEnd w:id="136"/>
    </w:p>
    <w:p w14:paraId="149ED78E" w14:textId="0201D786" w:rsidR="002C1A3B" w:rsidRPr="002C1A3B" w:rsidRDefault="002C1A3B" w:rsidP="002C1A3B">
      <w:pPr>
        <w:pStyle w:val="Heading3"/>
      </w:pPr>
      <w:bookmarkStart w:id="137" w:name="_Toc370223478"/>
      <w:bookmarkStart w:id="138" w:name="_Toc370225393"/>
      <w:bookmarkStart w:id="139" w:name="_Toc22303684"/>
      <w:bookmarkStart w:id="140" w:name="_Toc22650347"/>
      <w:bookmarkEnd w:id="129"/>
      <w:bookmarkEnd w:id="130"/>
      <w:bookmarkEnd w:id="131"/>
      <w:bookmarkEnd w:id="132"/>
      <w:bookmarkEnd w:id="133"/>
      <w:r w:rsidRPr="002C1A3B">
        <w:t>2.5.1</w:t>
      </w:r>
      <w:r w:rsidRPr="002C1A3B">
        <w:tab/>
        <w:t>Secti</w:t>
      </w:r>
      <w:r w:rsidRPr="00020CB3">
        <w:t>on 2</w:t>
      </w:r>
      <w:bookmarkEnd w:id="137"/>
      <w:bookmarkEnd w:id="138"/>
      <w:r w:rsidR="00020CB3" w:rsidRPr="00020CB3">
        <w:t>9</w:t>
      </w:r>
      <w:bookmarkEnd w:id="139"/>
      <w:bookmarkEnd w:id="140"/>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6020F539" w14:textId="31D4888B" w:rsidR="002C1A3B" w:rsidRPr="002C1A3B" w:rsidRDefault="0099623A" w:rsidP="002C1A3B">
      <w:r>
        <w:t xml:space="preserve">The direct and indirect </w:t>
      </w:r>
      <w:r w:rsidRPr="00020CB3">
        <w:t>benefits that would arise from a food regulatory measure developed or varied as a result of the application</w:t>
      </w:r>
      <w:r w:rsidR="00020CB3" w:rsidRPr="00020CB3">
        <w:t xml:space="preserve"> </w:t>
      </w:r>
      <w:r w:rsidRPr="00020CB3">
        <w:t xml:space="preserve">outweigh the costs to the community, Government or industry that would arise from the development or variation </w:t>
      </w:r>
      <w:r>
        <w:t>of the food regulatory measure.</w:t>
      </w:r>
    </w:p>
    <w:p w14:paraId="6B6C8337" w14:textId="77777777" w:rsidR="0099623A" w:rsidRDefault="0099623A" w:rsidP="002C1A3B">
      <w:pPr>
        <w:rPr>
          <w:color w:val="00B050"/>
        </w:rPr>
      </w:pPr>
    </w:p>
    <w:p w14:paraId="1BB81619" w14:textId="77777777" w:rsidR="009A7E61" w:rsidRPr="006278F4" w:rsidRDefault="009A7E61" w:rsidP="004D3F3B">
      <w:pPr>
        <w:keepNext/>
        <w:keepLines/>
        <w:rPr>
          <w:rFonts w:cs="Arial"/>
        </w:rPr>
      </w:pPr>
      <w:r w:rsidRPr="006278F4">
        <w:rPr>
          <w:rFonts w:cs="Arial"/>
        </w:rPr>
        <w:t xml:space="preserve">The Office of Best Practice Regulation (OBPR) exempted FSANZ from the need to undertake a formal Regulation Impact Statement (RIS) in relation to the regulatory change proposed in response to this application (OBPR correspondence dated 1 February 2018, reference 23349). This was due to OPBR being satisfied that the requested variation is voluntary and deregulatory and likely to have only a minor effect on consumers, businesses, and government. </w:t>
      </w:r>
    </w:p>
    <w:p w14:paraId="00348DEF" w14:textId="77777777" w:rsidR="009A7E61" w:rsidRPr="006278F4" w:rsidRDefault="009A7E61" w:rsidP="009A7E61">
      <w:pPr>
        <w:rPr>
          <w:rFonts w:cs="Arial"/>
        </w:rPr>
      </w:pPr>
    </w:p>
    <w:p w14:paraId="5621FD61" w14:textId="77777777" w:rsidR="007313CD" w:rsidRDefault="009A7E61" w:rsidP="009A7E61">
      <w:pPr>
        <w:widowControl/>
        <w:rPr>
          <w:rFonts w:cs="Arial"/>
        </w:rPr>
      </w:pPr>
      <w:r w:rsidRPr="006278F4">
        <w:rPr>
          <w:rFonts w:cs="Arial"/>
        </w:rPr>
        <w:t xml:space="preserve">FSANZ, however, has given consideration to the costs and benefits that may arise from the proposed measure for the purposes of meeting FSANZ Act considerations. </w:t>
      </w:r>
    </w:p>
    <w:p w14:paraId="7B35BCEC" w14:textId="3DB14E9F" w:rsidR="009A7E61" w:rsidRPr="006278F4" w:rsidRDefault="009A7E61" w:rsidP="009A7E61">
      <w:pPr>
        <w:widowControl/>
      </w:pPr>
      <w:r w:rsidRPr="006278F4">
        <w:t>The FSANZ Act requires FSANZ</w:t>
      </w:r>
      <w:r w:rsidRPr="006278F4">
        <w:rPr>
          <w:rFonts w:cs="Arial"/>
        </w:rPr>
        <w:t xml:space="preserve"> to have regard to whether costs that would arise from the proposed measure outweigh the direct and indirect benefits to the community, government or industry that would arise from the proposed measure (S29(2)(a)). </w:t>
      </w:r>
    </w:p>
    <w:p w14:paraId="579DA54B" w14:textId="77777777" w:rsidR="009A7E61" w:rsidRPr="006278F4" w:rsidRDefault="009A7E61" w:rsidP="009A7E61"/>
    <w:p w14:paraId="55DB0456" w14:textId="21F4C3F5" w:rsidR="009A7E61" w:rsidRPr="006278F4" w:rsidRDefault="009A7E61" w:rsidP="009A7E61">
      <w:r w:rsidRPr="006278F4">
        <w:t>The purpose of this consideration is to determine if the community, government, and industry as a whole is likely to benefit, on balance, from a move</w:t>
      </w:r>
      <w:r w:rsidR="00D3430A">
        <w:t xml:space="preserve"> away</w:t>
      </w:r>
      <w:r w:rsidRPr="006278F4">
        <w:t xml:space="preserve"> from the status quo. This analysis considered approving the addition of 2′-FL alone or combined with LNnT to infant formula products and FSFYC as proposed in the draft variation. A consideration of costs and benefits was included in the 1</w:t>
      </w:r>
      <w:r w:rsidRPr="006278F4">
        <w:rPr>
          <w:vertAlign w:val="superscript"/>
        </w:rPr>
        <w:t>st</w:t>
      </w:r>
      <w:r w:rsidRPr="006278F4">
        <w:t xml:space="preserve"> CFS report based on the information and data held at that time. Information received from some industry stakeholders has led to the consideration of costs and benefits to be revised since the 1</w:t>
      </w:r>
      <w:r w:rsidRPr="006278F4">
        <w:rPr>
          <w:vertAlign w:val="superscript"/>
        </w:rPr>
        <w:t>st</w:t>
      </w:r>
      <w:r w:rsidRPr="006278F4">
        <w:t xml:space="preserve"> CFS.</w:t>
      </w:r>
    </w:p>
    <w:p w14:paraId="4E424C21" w14:textId="77777777" w:rsidR="009A7E61" w:rsidRPr="006278F4" w:rsidRDefault="009A7E61" w:rsidP="009A7E61"/>
    <w:p w14:paraId="606F759D" w14:textId="60FF0740" w:rsidR="009A7E61" w:rsidRPr="006278F4" w:rsidRDefault="009A7E61" w:rsidP="009A7E61">
      <w:r w:rsidRPr="006278F4">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voluntary addition of 2′-FL alone, or in combination with LNnT, to infant formula products and FSFYC as proposed in the</w:t>
      </w:r>
      <w:r w:rsidR="00D3430A">
        <w:t xml:space="preserve"> </w:t>
      </w:r>
      <w:r w:rsidRPr="006278F4">
        <w:t>variation.</w:t>
      </w:r>
    </w:p>
    <w:p w14:paraId="2EFFE9E5" w14:textId="77777777" w:rsidR="009A7E61" w:rsidRPr="007313CD" w:rsidRDefault="009A7E61" w:rsidP="007313CD">
      <w:pPr>
        <w:pStyle w:val="Heading5"/>
      </w:pPr>
      <w:r w:rsidRPr="007313CD">
        <w:t>Costs and benefits of permitting 2′-FL and LNnT as proposed</w:t>
      </w:r>
    </w:p>
    <w:p w14:paraId="2ABCB236" w14:textId="77777777" w:rsidR="009A7E61" w:rsidRPr="006278F4" w:rsidRDefault="009A7E61" w:rsidP="009A7E61">
      <w:r w:rsidRPr="006278F4">
        <w:t>The use of 2</w:t>
      </w:r>
      <w:r w:rsidRPr="006278F4">
        <w:rPr>
          <w:lang w:val="en-AU"/>
        </w:rPr>
        <w:t>′</w:t>
      </w:r>
      <w:r w:rsidRPr="006278F4">
        <w:t xml:space="preserve">-FL and LNnT in infant formula products and FSFYC as proposed will not pose a health or safety risk for consumers. These substances are chemically and structurally identical to those naturally present in human milk. </w:t>
      </w:r>
    </w:p>
    <w:p w14:paraId="240D880D" w14:textId="77777777" w:rsidR="009A7E61" w:rsidRPr="006278F4" w:rsidRDefault="009A7E61" w:rsidP="009A7E61"/>
    <w:p w14:paraId="24022E97" w14:textId="77777777" w:rsidR="00D3430A" w:rsidRPr="006278F4" w:rsidRDefault="009A7E61" w:rsidP="00D3430A">
      <w:r w:rsidRPr="006278F4">
        <w:t xml:space="preserve">The proposed permission may provide potential beneficial health outcomes for infants and toddlers. </w:t>
      </w:r>
      <w:r w:rsidR="00D3430A" w:rsidRPr="006278F4">
        <w:t xml:space="preserve">Consumers may therefore benefit from the choice of infant formula products and FSFYC containing the applicant’s 2′-FL alone or with LNnT that become available. </w:t>
      </w:r>
    </w:p>
    <w:p w14:paraId="36292AAC" w14:textId="58F3D6AF" w:rsidR="009A7E61" w:rsidRPr="006278F4" w:rsidRDefault="009A7E61" w:rsidP="009A7E61">
      <w:r w:rsidRPr="006278F4">
        <w:t xml:space="preserve">As discussed in section 2.3.1, the evidence for 2′-FL supports the biological and mechanistic plausibility of an inhibitory effect against invasive </w:t>
      </w:r>
      <w:r w:rsidRPr="00CD4691">
        <w:rPr>
          <w:i/>
        </w:rPr>
        <w:t>C</w:t>
      </w:r>
      <w:r w:rsidRPr="006278F4">
        <w:t>.</w:t>
      </w:r>
      <w:r w:rsidR="00CD4691">
        <w:t xml:space="preserve"> </w:t>
      </w:r>
      <w:r w:rsidRPr="00CD4691">
        <w:rPr>
          <w:i/>
        </w:rPr>
        <w:t>jejuni</w:t>
      </w:r>
      <w:r w:rsidRPr="006278F4">
        <w:t xml:space="preserve"> infection. Evidence also supports a bifidogenic effect from the use of 2′-FL alone or combined with LNnT</w:t>
      </w:r>
      <w:r w:rsidR="00D3430A">
        <w:t xml:space="preserve">. </w:t>
      </w:r>
    </w:p>
    <w:p w14:paraId="6456DB0E" w14:textId="77777777" w:rsidR="009A7E61" w:rsidRPr="006278F4" w:rsidRDefault="009A7E61" w:rsidP="009A7E61"/>
    <w:p w14:paraId="731E885E" w14:textId="5264B01B" w:rsidR="009A7E61" w:rsidRPr="006278F4" w:rsidRDefault="009A7E61" w:rsidP="009A7E61">
      <w:r w:rsidRPr="006278F4">
        <w:t>As the proposed permission is voluntary, industry will use 2′-FL alone or in combination with LNnT in infant formula products and FSFYC only where they believe a net benefit exists</w:t>
      </w:r>
      <w:r w:rsidR="00D3430A">
        <w:t xml:space="preserve"> for themselves</w:t>
      </w:r>
      <w:r w:rsidRPr="006278F4">
        <w:t>. Industry will benefit from having alternative options available to existing permitted oligosaccharides GOS and ITF providing product innovation opportunities.</w:t>
      </w:r>
    </w:p>
    <w:p w14:paraId="756267A5" w14:textId="77777777" w:rsidR="009A7E61" w:rsidRPr="006278F4" w:rsidRDefault="009A7E61" w:rsidP="009A7E61"/>
    <w:p w14:paraId="5B2F1B8D" w14:textId="77777777" w:rsidR="009A7E61" w:rsidRPr="006278F4" w:rsidRDefault="009A7E61" w:rsidP="009A7E61">
      <w:pPr>
        <w:pStyle w:val="CommentText"/>
      </w:pPr>
      <w:r w:rsidRPr="006278F4">
        <w:rPr>
          <w:sz w:val="22"/>
          <w:szCs w:val="22"/>
        </w:rPr>
        <w:t>The applicant’s 2</w:t>
      </w:r>
      <w:r w:rsidRPr="006278F4">
        <w:rPr>
          <w:sz w:val="22"/>
          <w:szCs w:val="22"/>
          <w:lang w:val="en-AU"/>
        </w:rPr>
        <w:t>′</w:t>
      </w:r>
      <w:r w:rsidRPr="006278F4">
        <w:rPr>
          <w:sz w:val="22"/>
          <w:szCs w:val="22"/>
        </w:rPr>
        <w:t>-FL and LNnT is permitted for use in infant formula products and FSFYC in some overseas countries including the EU and US. The proposed permission will enable Australian and New Zealand industries to access and use ingredients that are available to their overseas competitors, which may provide trade opportunities.</w:t>
      </w:r>
      <w:r w:rsidRPr="006278F4">
        <w:t xml:space="preserve"> </w:t>
      </w:r>
    </w:p>
    <w:p w14:paraId="3940DEBE" w14:textId="77777777" w:rsidR="009A7E61" w:rsidRPr="006278F4" w:rsidRDefault="009A7E61" w:rsidP="009A7E61">
      <w:pPr>
        <w:pStyle w:val="CommentText"/>
      </w:pPr>
    </w:p>
    <w:p w14:paraId="25B3AF78" w14:textId="77777777" w:rsidR="0070659D" w:rsidRDefault="009A7E61" w:rsidP="009A7E61">
      <w:pPr>
        <w:pStyle w:val="CommentText"/>
        <w:rPr>
          <w:sz w:val="22"/>
          <w:szCs w:val="22"/>
        </w:rPr>
      </w:pPr>
      <w:r w:rsidRPr="006278F4">
        <w:rPr>
          <w:sz w:val="22"/>
          <w:szCs w:val="22"/>
        </w:rPr>
        <w:t xml:space="preserve">FSANZ has received feedback from some industry noting that a significant portion of Australia and New Zealand’s infant formula revenue is derived from exports. </w:t>
      </w:r>
    </w:p>
    <w:p w14:paraId="08ADF5CB" w14:textId="76D00744" w:rsidR="009A7E61" w:rsidRPr="006278F4" w:rsidRDefault="009A7E61" w:rsidP="009A7E61">
      <w:pPr>
        <w:pStyle w:val="CommentText"/>
        <w:rPr>
          <w:sz w:val="22"/>
          <w:szCs w:val="22"/>
          <w:lang w:bidi="ar-SA"/>
        </w:rPr>
      </w:pPr>
      <w:r w:rsidRPr="006278F4">
        <w:rPr>
          <w:sz w:val="22"/>
          <w:szCs w:val="22"/>
        </w:rPr>
        <w:t>In New Zealand, infant formula exports were valued at around NZ$1.1 billion in 2017/2018 (NZIER, 2018). In Australia, China is the largest dairy export market (by volume and value). In 2017/18, ‘infant powder’ was the top Australian dairy export to China by value (USD$325 million), with the volume of exports growing by 614% from 2013/14 to 2017/18 (Dairy Australia, 2018). CBEC (cross border e-commerce) trade into China is governed by the regulations of the market of origin. Approving the use of 2′-FL and LNnT as proposed will potentially allow Australia and New Zealand industries to better compete with overseas businesses in the CBEC Chinese market that have access to and use these ingredients. Facilitating trade opportunities may lead to flow-on economic and employment benefits to Australia and New Zealand.</w:t>
      </w:r>
    </w:p>
    <w:p w14:paraId="14BB2D43" w14:textId="77777777" w:rsidR="009A7E61" w:rsidRPr="006278F4" w:rsidRDefault="009A7E61" w:rsidP="009A7E61">
      <w:pPr>
        <w:pStyle w:val="CommentText"/>
        <w:rPr>
          <w:sz w:val="22"/>
          <w:szCs w:val="22"/>
        </w:rPr>
      </w:pPr>
    </w:p>
    <w:p w14:paraId="6BC425E0" w14:textId="77777777" w:rsidR="009A7E61" w:rsidRPr="006278F4" w:rsidRDefault="009A7E61" w:rsidP="009A7E61">
      <w:pPr>
        <w:widowControl/>
      </w:pPr>
      <w:r w:rsidRPr="006278F4">
        <w:t>The proposed permission could also result in competing imports from overseas markets into Australia and New Zealand.</w:t>
      </w:r>
    </w:p>
    <w:p w14:paraId="5EEDE79A" w14:textId="77777777" w:rsidR="009A7E61" w:rsidRPr="007313CD" w:rsidRDefault="009A7E61" w:rsidP="007313CD">
      <w:pPr>
        <w:pStyle w:val="Heading5"/>
      </w:pPr>
      <w:r w:rsidRPr="007313CD">
        <w:t>Conclusion from cost benefit considerations</w:t>
      </w:r>
    </w:p>
    <w:p w14:paraId="67DAE811" w14:textId="77777777" w:rsidR="009A7E61" w:rsidRPr="006278F4" w:rsidRDefault="009A7E61" w:rsidP="009A7E61">
      <w:pPr>
        <w:widowControl/>
      </w:pPr>
      <w:r w:rsidRPr="006278F4">
        <w:t>FSANZ’s assessment is that the direct and indirect benefits that would arise from permitting the voluntary addition of 2′-FL and LNnT in the manner proposed are likely to outweigh the associated costs.</w:t>
      </w:r>
    </w:p>
    <w:p w14:paraId="494870A6" w14:textId="77777777" w:rsidR="002C1A3B" w:rsidRPr="002C1A3B" w:rsidRDefault="002C1A3B" w:rsidP="002C1A3B">
      <w:pPr>
        <w:pStyle w:val="Heading4"/>
      </w:pPr>
      <w:r w:rsidRPr="002C1A3B">
        <w:t>2.5.1.2</w:t>
      </w:r>
      <w:r w:rsidRPr="002C1A3B">
        <w:tab/>
        <w:t>Other measures</w:t>
      </w:r>
    </w:p>
    <w:p w14:paraId="7B16675E" w14:textId="24C353AD" w:rsidR="002C1A3B" w:rsidRPr="002C1A3B" w:rsidRDefault="002C1A3B" w:rsidP="002C1A3B">
      <w:pPr>
        <w:rPr>
          <w:color w:val="FF0000"/>
        </w:rPr>
      </w:pPr>
      <w:r w:rsidRPr="002C1A3B">
        <w:t xml:space="preserve">There are no other measures (whether available to FSANZ or not) that would be more cost-effective than a food regulatory measure developed or varied as a result of </w:t>
      </w:r>
      <w:r w:rsidRPr="00020CB3">
        <w:t xml:space="preserve">the </w:t>
      </w:r>
      <w:r w:rsidR="00020CB3">
        <w:t>a</w:t>
      </w:r>
      <w:r w:rsidRPr="00020CB3">
        <w:t>pplication.</w:t>
      </w:r>
    </w:p>
    <w:p w14:paraId="258883E6" w14:textId="77777777" w:rsidR="002C1A3B" w:rsidRPr="002C1A3B" w:rsidRDefault="002C1A3B" w:rsidP="002C1A3B">
      <w:pPr>
        <w:pStyle w:val="Heading4"/>
      </w:pPr>
      <w:r w:rsidRPr="002C1A3B">
        <w:t>2.5.1.3</w:t>
      </w:r>
      <w:r w:rsidRPr="002C1A3B">
        <w:tab/>
        <w:t>Any relevant New Zealand standards</w:t>
      </w:r>
    </w:p>
    <w:p w14:paraId="0138E70D" w14:textId="77777777" w:rsidR="002C1A3B" w:rsidRPr="002C1A3B" w:rsidRDefault="002C1A3B" w:rsidP="002C1A3B">
      <w:pPr>
        <w:rPr>
          <w:lang w:bidi="ar-SA"/>
        </w:rPr>
      </w:pPr>
      <w:r w:rsidRPr="002C1A3B">
        <w:rPr>
          <w:lang w:bidi="ar-SA"/>
        </w:rPr>
        <w:t>There are no relevant New Zealand Standards.</w:t>
      </w:r>
    </w:p>
    <w:p w14:paraId="7F047EB0" w14:textId="77777777" w:rsidR="002C1A3B" w:rsidRPr="002C1A3B" w:rsidRDefault="002C1A3B" w:rsidP="002C1A3B">
      <w:pPr>
        <w:pStyle w:val="Heading4"/>
      </w:pPr>
      <w:r w:rsidRPr="002C1A3B">
        <w:t>2.5.1.4</w:t>
      </w:r>
      <w:r w:rsidRPr="002C1A3B">
        <w:tab/>
        <w:t>Any other relevant matters</w:t>
      </w:r>
    </w:p>
    <w:p w14:paraId="46D91378" w14:textId="77777777" w:rsidR="001F7F63" w:rsidRDefault="001F7F63" w:rsidP="001F7F63">
      <w:pPr>
        <w:rPr>
          <w:lang w:bidi="ar-SA"/>
        </w:rPr>
      </w:pPr>
      <w:bookmarkStart w:id="141" w:name="_Toc370223479"/>
      <w:bookmarkStart w:id="142" w:name="_Toc370225394"/>
      <w:bookmarkStart w:id="143" w:name="_Toc300761897"/>
      <w:bookmarkStart w:id="144" w:name="_Toc300933440"/>
      <w:r>
        <w:t>Other relevant matters are considered below</w:t>
      </w:r>
      <w:r>
        <w:rPr>
          <w:lang w:bidi="ar-SA"/>
        </w:rPr>
        <w:t>.</w:t>
      </w:r>
      <w:r>
        <w:t xml:space="preserve"> </w:t>
      </w:r>
    </w:p>
    <w:p w14:paraId="10CCAF40" w14:textId="77777777" w:rsidR="002C1A3B" w:rsidRPr="002C1A3B" w:rsidRDefault="002C1A3B" w:rsidP="002C1A3B">
      <w:pPr>
        <w:pStyle w:val="Heading3"/>
      </w:pPr>
      <w:bookmarkStart w:id="145" w:name="_Toc22303685"/>
      <w:bookmarkStart w:id="146" w:name="_Toc22650348"/>
      <w:r w:rsidRPr="002C1A3B">
        <w:t>2.5.2.</w:t>
      </w:r>
      <w:r w:rsidRPr="002C1A3B">
        <w:tab/>
        <w:t>Subsection 18(1)</w:t>
      </w:r>
      <w:bookmarkEnd w:id="141"/>
      <w:bookmarkEnd w:id="142"/>
      <w:bookmarkEnd w:id="145"/>
      <w:bookmarkEnd w:id="146"/>
      <w:r w:rsidRPr="002C1A3B">
        <w:t xml:space="preserve"> </w:t>
      </w:r>
      <w:bookmarkEnd w:id="143"/>
      <w:bookmarkEnd w:id="144"/>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147" w:name="_Toc297029117"/>
      <w:bookmarkStart w:id="148" w:name="_Toc300761898"/>
      <w:bookmarkStart w:id="149" w:name="_Toc300933441"/>
      <w:r w:rsidRPr="002C1A3B">
        <w:rPr>
          <w:lang w:eastAsia="en-AU"/>
        </w:rPr>
        <w:t>2.5.2.1</w:t>
      </w:r>
      <w:r w:rsidRPr="002C1A3B">
        <w:rPr>
          <w:lang w:eastAsia="en-AU"/>
        </w:rPr>
        <w:tab/>
        <w:t>Protection of public health and safety</w:t>
      </w:r>
      <w:bookmarkEnd w:id="147"/>
      <w:bookmarkEnd w:id="148"/>
      <w:bookmarkEnd w:id="149"/>
    </w:p>
    <w:p w14:paraId="7A8607D1" w14:textId="01A822FD" w:rsidR="009A7E61" w:rsidRPr="001A6DFD" w:rsidRDefault="009A7E61" w:rsidP="009A7E61">
      <w:bookmarkStart w:id="150" w:name="_Toc300761899"/>
      <w:bookmarkStart w:id="151" w:name="_Toc300933442"/>
      <w:r w:rsidRPr="001A6DFD">
        <w:t>F</w:t>
      </w:r>
      <w:r>
        <w:t xml:space="preserve">SANZ completed a </w:t>
      </w:r>
      <w:hyperlink r:id="rId36" w:history="1">
        <w:r w:rsidRPr="00D3430A">
          <w:rPr>
            <w:rStyle w:val="Hyperlink"/>
          </w:rPr>
          <w:t>safety, technical and health effects assessment (SD1</w:t>
        </w:r>
        <w:r w:rsidR="00004158" w:rsidRPr="00D3430A">
          <w:rPr>
            <w:rStyle w:val="Hyperlink"/>
          </w:rPr>
          <w:t xml:space="preserve"> of the 2</w:t>
        </w:r>
        <w:r w:rsidR="00004158" w:rsidRPr="00D3430A">
          <w:rPr>
            <w:rStyle w:val="Hyperlink"/>
            <w:vertAlign w:val="superscript"/>
          </w:rPr>
          <w:t>nd</w:t>
        </w:r>
        <w:r w:rsidR="00004158" w:rsidRPr="00D3430A">
          <w:rPr>
            <w:rStyle w:val="Hyperlink"/>
          </w:rPr>
          <w:t xml:space="preserve"> CFS</w:t>
        </w:r>
        <w:r w:rsidRPr="00D3430A">
          <w:rPr>
            <w:rStyle w:val="Hyperlink"/>
          </w:rPr>
          <w:t>)</w:t>
        </w:r>
      </w:hyperlink>
      <w:r w:rsidRPr="001A6DFD">
        <w:t xml:space="preserve"> which is summarised in section 2.</w:t>
      </w:r>
      <w:r w:rsidR="00D50475">
        <w:t>2</w:t>
      </w:r>
      <w:r w:rsidRPr="001A6DFD">
        <w:t>. The assessment concluded that there are no public health and safety concerns associated with the addition of 2</w:t>
      </w:r>
      <w:r>
        <w:t>′</w:t>
      </w:r>
      <w:r w:rsidRPr="001A6DFD">
        <w:t>-FL</w:t>
      </w:r>
      <w:r>
        <w:t xml:space="preserve"> alone </w:t>
      </w:r>
      <w:r w:rsidRPr="001A6DFD">
        <w:t xml:space="preserve">or in combination with LNnT to infant formula products and </w:t>
      </w:r>
      <w:r w:rsidRPr="006D7863">
        <w:t>FSFYC at dietary intakes based on 2.4 g/L 2</w:t>
      </w:r>
      <w:r>
        <w:t>′</w:t>
      </w:r>
      <w:r w:rsidRPr="006D7863">
        <w:t>-FL</w:t>
      </w:r>
      <w:r w:rsidR="00B07F92">
        <w:t xml:space="preserve"> (of which 0.6 g/L is LNnT)</w:t>
      </w:r>
      <w:r w:rsidRPr="006D7863">
        <w:t xml:space="preserve">. </w:t>
      </w:r>
    </w:p>
    <w:p w14:paraId="5616BD60"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50"/>
      <w:bookmarkEnd w:id="151"/>
    </w:p>
    <w:p w14:paraId="39ECD879" w14:textId="215A0CD5" w:rsidR="009A7E61" w:rsidRPr="00813705" w:rsidRDefault="009A7E61" w:rsidP="009A7E61">
      <w:pPr>
        <w:widowControl/>
      </w:pPr>
      <w:bookmarkStart w:id="152" w:name="_Toc300761900"/>
      <w:bookmarkStart w:id="153" w:name="_Toc300933443"/>
      <w:r w:rsidRPr="00DA5399">
        <w:rPr>
          <w:rFonts w:cs="Arial"/>
          <w:szCs w:val="22"/>
        </w:rPr>
        <w:t>Current labellin</w:t>
      </w:r>
      <w:r>
        <w:rPr>
          <w:rFonts w:cs="Arial"/>
          <w:szCs w:val="22"/>
        </w:rPr>
        <w:t xml:space="preserve">g requirements </w:t>
      </w:r>
      <w:r w:rsidRPr="00DA5399">
        <w:rPr>
          <w:rFonts w:cs="Arial"/>
          <w:szCs w:val="22"/>
        </w:rPr>
        <w:t xml:space="preserve">apply to </w:t>
      </w:r>
      <w:r>
        <w:t>2′-FL and LNnT when added to infant formula or FSFYC, as</w:t>
      </w:r>
      <w:r w:rsidRPr="00395E78">
        <w:t xml:space="preserve"> </w:t>
      </w:r>
      <w:r>
        <w:t xml:space="preserve">discussed </w:t>
      </w:r>
      <w:r w:rsidRPr="006A2410">
        <w:t xml:space="preserve">in </w:t>
      </w:r>
      <w:r w:rsidRPr="0070659D">
        <w:t>section 2.</w:t>
      </w:r>
      <w:r w:rsidR="00D93BDC">
        <w:t>3.</w:t>
      </w:r>
      <w:r w:rsidR="004D3F3B" w:rsidRPr="0070659D">
        <w:t>4</w:t>
      </w:r>
      <w:r w:rsidRPr="0070659D">
        <w:t>, which</w:t>
      </w:r>
      <w:r>
        <w:t xml:space="preserve"> provides information to </w:t>
      </w:r>
      <w:r w:rsidRPr="00395E78">
        <w:t xml:space="preserve">enable </w:t>
      </w:r>
      <w:r>
        <w:t xml:space="preserve">consumers make </w:t>
      </w:r>
      <w:r w:rsidRPr="00395E78">
        <w:t>an informed choice</w:t>
      </w:r>
      <w:r>
        <w:t>.</w:t>
      </w:r>
    </w:p>
    <w:p w14:paraId="645283E6"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52"/>
      <w:bookmarkEnd w:id="153"/>
    </w:p>
    <w:p w14:paraId="10A8670B" w14:textId="4FF97D1B" w:rsidR="009A7E61" w:rsidRPr="00523BA7" w:rsidRDefault="009A7E61" w:rsidP="009A7E61">
      <w:pPr>
        <w:widowControl/>
        <w:rPr>
          <w:rFonts w:cs="Arial"/>
          <w:szCs w:val="22"/>
        </w:rPr>
      </w:pPr>
      <w:bookmarkStart w:id="154" w:name="_Toc300761901"/>
      <w:bookmarkStart w:id="155" w:name="_Toc300933444"/>
      <w:bookmarkStart w:id="156" w:name="_Toc370223480"/>
      <w:bookmarkStart w:id="157" w:name="_Toc370225395"/>
      <w:r w:rsidRPr="003E7621">
        <w:rPr>
          <w:rFonts w:cs="Arial"/>
          <w:szCs w:val="22"/>
        </w:rPr>
        <w:t xml:space="preserve">Current labelling requirements which aim to prevent misleading or deceptive conduct, apply to </w:t>
      </w:r>
      <w:r w:rsidRPr="003E7621">
        <w:t>2′-FL and LNnT when added</w:t>
      </w:r>
      <w:r w:rsidRPr="003E7621">
        <w:rPr>
          <w:rFonts w:cs="Arial"/>
          <w:szCs w:val="22"/>
        </w:rPr>
        <w:t xml:space="preserve"> to </w:t>
      </w:r>
      <w:r w:rsidRPr="003E7621">
        <w:t>infant formula or FSFYC</w:t>
      </w:r>
      <w:r w:rsidRPr="003E7621">
        <w:rPr>
          <w:rFonts w:cs="Arial"/>
          <w:szCs w:val="22"/>
        </w:rPr>
        <w:t xml:space="preserve">. </w:t>
      </w:r>
      <w:r w:rsidR="00004158">
        <w:rPr>
          <w:rFonts w:cs="Arial"/>
          <w:szCs w:val="22"/>
        </w:rPr>
        <w:t xml:space="preserve">In addition, </w:t>
      </w:r>
      <w:r w:rsidRPr="003E7621">
        <w:rPr>
          <w:rFonts w:cs="Arial"/>
          <w:szCs w:val="22"/>
        </w:rPr>
        <w:t xml:space="preserve">a specific prohibition of terms such as ‘human milk identical oligosaccharide’ and ‘HiMO’ is intended to prevent consumers from being misled about the equivalency of infant formula products and FSFYC with </w:t>
      </w:r>
      <w:r w:rsidR="00A9269B">
        <w:rPr>
          <w:rFonts w:cs="Arial"/>
          <w:szCs w:val="22"/>
        </w:rPr>
        <w:t>breast milk</w:t>
      </w:r>
      <w:r w:rsidRPr="003E7621">
        <w:rPr>
          <w:rFonts w:cs="Arial"/>
          <w:szCs w:val="22"/>
        </w:rPr>
        <w:t xml:space="preserve"> (see section 2.3.</w:t>
      </w:r>
      <w:r w:rsidR="00D93BDC">
        <w:rPr>
          <w:rFonts w:cs="Arial"/>
          <w:szCs w:val="22"/>
        </w:rPr>
        <w:t>4.3</w:t>
      </w:r>
      <w:r w:rsidRPr="003E7621">
        <w:rPr>
          <w:rFonts w:cs="Arial"/>
          <w:szCs w:val="22"/>
        </w:rPr>
        <w:t>).</w:t>
      </w:r>
    </w:p>
    <w:p w14:paraId="7183F1D0"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54"/>
      <w:bookmarkEnd w:id="155"/>
      <w:r w:rsidRPr="002C1A3B">
        <w:rPr>
          <w:b/>
          <w:bCs/>
          <w:lang w:eastAsia="en-AU" w:bidi="ar-SA"/>
        </w:rPr>
        <w:t>considerations</w:t>
      </w:r>
      <w:bookmarkEnd w:id="156"/>
      <w:bookmarkEnd w:id="157"/>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70659D">
      <w:pPr>
        <w:pStyle w:val="FSBullet1"/>
        <w:numPr>
          <w:ilvl w:val="0"/>
          <w:numId w:val="38"/>
        </w:numPr>
        <w:rPr>
          <w:b/>
        </w:rPr>
      </w:pPr>
      <w:r w:rsidRPr="002C1A3B">
        <w:rPr>
          <w:b/>
        </w:rPr>
        <w:t>the need for standards to be based on risk analysis using the best available scientific evidence</w:t>
      </w:r>
    </w:p>
    <w:p w14:paraId="0D10F662" w14:textId="77777777" w:rsidR="002C1A3B" w:rsidRPr="002C1A3B" w:rsidRDefault="002C1A3B" w:rsidP="002C1A3B">
      <w:pPr>
        <w:rPr>
          <w:lang w:bidi="ar-SA"/>
        </w:rPr>
      </w:pPr>
    </w:p>
    <w:p w14:paraId="5EC8C738" w14:textId="510CCFED" w:rsidR="002C1A3B" w:rsidRPr="00B224B6" w:rsidRDefault="00B224B6" w:rsidP="002C1A3B">
      <w:r w:rsidRPr="00B224B6">
        <w:t xml:space="preserve">FSANZ has used the risk analysis framework and considered the best available evidence to reach its conclusion. </w:t>
      </w:r>
      <w:r w:rsidR="004D3F3B" w:rsidRPr="00087609">
        <w:t xml:space="preserve">The applicant submitted a dossier of scientific </w:t>
      </w:r>
      <w:r w:rsidR="004D3F3B" w:rsidRPr="003E7621">
        <w:t>studies as part of its application. Other relevant information including scientific literature was also</w:t>
      </w:r>
      <w:r w:rsidR="00DC5D76">
        <w:t xml:space="preserve"> identified through a literature review and</w:t>
      </w:r>
      <w:r w:rsidR="004D3F3B" w:rsidRPr="003E7621">
        <w:t xml:space="preserve"> used in assessing the application. </w:t>
      </w:r>
      <w:r w:rsidR="004D3F3B">
        <w:t xml:space="preserve">During the assessment the </w:t>
      </w:r>
      <w:r w:rsidR="004D3F3B" w:rsidRPr="003E7621">
        <w:t xml:space="preserve">applicant was asked to provide any additional available evidence to support the application. This was to ensure the assessment was based on the best available evidence. </w:t>
      </w:r>
      <w:r w:rsidRPr="00B224B6">
        <w:t xml:space="preserve"> </w:t>
      </w:r>
    </w:p>
    <w:p w14:paraId="578FA355" w14:textId="77777777" w:rsidR="002C1A3B" w:rsidRPr="002C1A3B" w:rsidRDefault="002C1A3B" w:rsidP="002C1A3B">
      <w:pPr>
        <w:rPr>
          <w:lang w:bidi="ar-SA"/>
        </w:rPr>
      </w:pPr>
    </w:p>
    <w:p w14:paraId="3C79D49D" w14:textId="77777777" w:rsidR="002C1A3B" w:rsidRPr="002C1A3B" w:rsidRDefault="002C1A3B" w:rsidP="00022AEC">
      <w:pPr>
        <w:pStyle w:val="FSBullet1"/>
        <w:keepNext/>
        <w:keepLines/>
        <w:numPr>
          <w:ilvl w:val="0"/>
          <w:numId w:val="38"/>
        </w:numPr>
        <w:rPr>
          <w:b/>
        </w:rPr>
      </w:pPr>
      <w:r w:rsidRPr="002C1A3B">
        <w:rPr>
          <w:b/>
        </w:rPr>
        <w:t>the promotion of consistency between domestic and international food standards</w:t>
      </w:r>
    </w:p>
    <w:p w14:paraId="28DE519F" w14:textId="77777777" w:rsidR="002C1A3B" w:rsidRPr="002C1A3B" w:rsidRDefault="002C1A3B" w:rsidP="00022AEC">
      <w:pPr>
        <w:keepNext/>
        <w:keepLines/>
        <w:rPr>
          <w:lang w:bidi="ar-SA"/>
        </w:rPr>
      </w:pPr>
    </w:p>
    <w:p w14:paraId="73EDF848" w14:textId="1DDEDF63" w:rsidR="002C1A3B" w:rsidRPr="00B224B6" w:rsidRDefault="0070659D" w:rsidP="00022AEC">
      <w:pPr>
        <w:keepNext/>
        <w:keepLines/>
      </w:pPr>
      <w:r w:rsidRPr="007313CD">
        <w:t>FSANZ has considered the promotion of consistency between domestic and international food standards and the desirability of an efficient and internatio</w:t>
      </w:r>
      <w:r>
        <w:t xml:space="preserve">nally competitive food industry. </w:t>
      </w:r>
      <w:r w:rsidR="00004158" w:rsidRPr="00B224B6">
        <w:t xml:space="preserve">As discussed in section </w:t>
      </w:r>
      <w:r>
        <w:t>1.3.2</w:t>
      </w:r>
      <w:r w:rsidR="00004158" w:rsidRPr="00B224B6">
        <w:t xml:space="preserve">, these oligosaccharides are permitted for use in infant formula products and formulated supplementary foods for young children in </w:t>
      </w:r>
      <w:r w:rsidR="004D3F3B">
        <w:t>at least 37 other countries</w:t>
      </w:r>
      <w:r w:rsidR="00004158" w:rsidRPr="00B224B6">
        <w:t xml:space="preserve"> around the world</w:t>
      </w:r>
      <w:r w:rsidR="004C4E0F">
        <w:t xml:space="preserve"> at a range of levels and with different labelling requirements</w:t>
      </w:r>
      <w:r w:rsidR="00004158" w:rsidRPr="00B224B6">
        <w:t xml:space="preserve">. FSANZ considers that the permission to </w:t>
      </w:r>
      <w:r w:rsidR="00B224B6">
        <w:t xml:space="preserve">add these oligosaccharides will promote consistency between domestic and international food standards. FSANZ also considers that the labelling prohibitions are consistent with the labelling requirements of a number of countries. </w:t>
      </w:r>
      <w:r w:rsidR="00B224B6">
        <w:rPr>
          <w:rFonts w:cs="Arial"/>
        </w:rPr>
        <w:t>Product imported into Australia and New Zealand is required to be compliant with the Code.</w:t>
      </w:r>
    </w:p>
    <w:p w14:paraId="1A35BFE2" w14:textId="77777777" w:rsidR="00B224B6" w:rsidRPr="002C1A3B" w:rsidRDefault="00B224B6" w:rsidP="002C1A3B">
      <w:pPr>
        <w:rPr>
          <w:lang w:bidi="ar-SA"/>
        </w:rPr>
      </w:pPr>
    </w:p>
    <w:p w14:paraId="3657AFDD" w14:textId="77777777" w:rsidR="002C1A3B" w:rsidRPr="002C1A3B" w:rsidRDefault="002C1A3B" w:rsidP="0070659D">
      <w:pPr>
        <w:pStyle w:val="FSBullet1"/>
        <w:numPr>
          <w:ilvl w:val="0"/>
          <w:numId w:val="38"/>
        </w:numPr>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259ADC5C" w14:textId="77777777" w:rsidR="004C4E0F" w:rsidRPr="00B21422" w:rsidRDefault="004C4E0F" w:rsidP="004C4E0F">
      <w:pPr>
        <w:widowControl/>
        <w:rPr>
          <w:lang w:bidi="ar-SA"/>
        </w:rPr>
      </w:pPr>
      <w:r>
        <w:t>The proposed permission would support</w:t>
      </w:r>
      <w:r w:rsidRPr="00B21422">
        <w:t xml:space="preserve"> an internationally competitive food industry</w:t>
      </w:r>
      <w:r>
        <w:t xml:space="preserve"> in relation to the addition of 2′-FL and LNnT to infant formula products and FSFYC.</w:t>
      </w:r>
      <w:r w:rsidRPr="00B21422">
        <w:t xml:space="preserve"> </w:t>
      </w:r>
    </w:p>
    <w:p w14:paraId="340BFA6D" w14:textId="77777777" w:rsidR="002C1A3B" w:rsidRPr="002C1A3B" w:rsidRDefault="002C1A3B" w:rsidP="002C1A3B">
      <w:pPr>
        <w:rPr>
          <w:lang w:bidi="ar-SA"/>
        </w:rPr>
      </w:pPr>
    </w:p>
    <w:p w14:paraId="4A92FA8B" w14:textId="77777777" w:rsidR="002C1A3B" w:rsidRPr="002C1A3B" w:rsidRDefault="002C1A3B" w:rsidP="0070659D">
      <w:pPr>
        <w:pStyle w:val="FSBullet1"/>
        <w:numPr>
          <w:ilvl w:val="0"/>
          <w:numId w:val="38"/>
        </w:numPr>
        <w:rPr>
          <w:b/>
        </w:rPr>
      </w:pPr>
      <w:r w:rsidRPr="002C1A3B">
        <w:rPr>
          <w:b/>
        </w:rPr>
        <w:t>the promotion of fair trading in food</w:t>
      </w:r>
    </w:p>
    <w:p w14:paraId="03A28343" w14:textId="77777777" w:rsidR="002C1A3B" w:rsidRPr="002C1A3B" w:rsidRDefault="002C1A3B" w:rsidP="002C1A3B">
      <w:pPr>
        <w:rPr>
          <w:lang w:bidi="ar-SA"/>
        </w:rPr>
      </w:pPr>
    </w:p>
    <w:p w14:paraId="11BB2763" w14:textId="77777777" w:rsidR="004C4E0F" w:rsidRPr="00E63BE9" w:rsidRDefault="004C4E0F" w:rsidP="004C4E0F">
      <w:r w:rsidRPr="00E63BE9">
        <w:t xml:space="preserve">No negative impact is anticipated on fair trading. </w:t>
      </w:r>
    </w:p>
    <w:p w14:paraId="640EF022" w14:textId="77777777" w:rsidR="002C1A3B" w:rsidRPr="002C1A3B" w:rsidRDefault="002C1A3B" w:rsidP="002C1A3B">
      <w:pPr>
        <w:rPr>
          <w:lang w:bidi="ar-SA"/>
        </w:rPr>
      </w:pPr>
    </w:p>
    <w:p w14:paraId="2C1F2530" w14:textId="77777777" w:rsidR="002C1A3B" w:rsidRPr="002C1A3B" w:rsidRDefault="002C1A3B" w:rsidP="0070659D">
      <w:pPr>
        <w:pStyle w:val="FSBullet1"/>
        <w:numPr>
          <w:ilvl w:val="0"/>
          <w:numId w:val="38"/>
        </w:numPr>
        <w:rPr>
          <w:b/>
        </w:rPr>
      </w:pPr>
      <w:r w:rsidRPr="002C1A3B">
        <w:rPr>
          <w:b/>
        </w:rPr>
        <w:t xml:space="preserve">any written policy guidelines formulated by the </w:t>
      </w:r>
      <w:r w:rsidR="00EA2226">
        <w:rPr>
          <w:b/>
        </w:rPr>
        <w:t>Forum on Food Regulation</w:t>
      </w:r>
    </w:p>
    <w:p w14:paraId="41E27E4D" w14:textId="77777777" w:rsidR="002C1A3B" w:rsidRPr="002C1A3B" w:rsidRDefault="002C1A3B" w:rsidP="002C1A3B">
      <w:pPr>
        <w:rPr>
          <w:lang w:bidi="ar-SA"/>
        </w:rPr>
      </w:pPr>
    </w:p>
    <w:p w14:paraId="5A93D2E2" w14:textId="77777777" w:rsidR="004C4E0F" w:rsidRDefault="004C4E0F" w:rsidP="004C4E0F">
      <w:r>
        <w:t>Two</w:t>
      </w:r>
      <w:r w:rsidRPr="00BF53F9">
        <w:t xml:space="preserve"> Ministerial Policy Guideline</w:t>
      </w:r>
      <w:r>
        <w:t>s apply to this application:</w:t>
      </w:r>
    </w:p>
    <w:p w14:paraId="740E0430" w14:textId="77777777" w:rsidR="004C4E0F" w:rsidRDefault="004C4E0F" w:rsidP="004C4E0F"/>
    <w:p w14:paraId="58C38857" w14:textId="77777777" w:rsidR="004C4E0F" w:rsidRDefault="004C4E0F" w:rsidP="004C4E0F">
      <w:pPr>
        <w:pStyle w:val="FSBullet1"/>
        <w:numPr>
          <w:ilvl w:val="0"/>
          <w:numId w:val="5"/>
        </w:numPr>
        <w:ind w:left="567" w:hanging="567"/>
      </w:pPr>
      <w:r w:rsidRPr="00B10359">
        <w:t>Regulation of Infant Formula Products</w:t>
      </w:r>
      <w:r>
        <w:t xml:space="preserve"> </w:t>
      </w:r>
    </w:p>
    <w:p w14:paraId="605268D1" w14:textId="77777777" w:rsidR="004C4E0F" w:rsidRDefault="004C4E0F" w:rsidP="004C4E0F">
      <w:pPr>
        <w:pStyle w:val="FSBullet1"/>
        <w:numPr>
          <w:ilvl w:val="0"/>
          <w:numId w:val="5"/>
        </w:numPr>
        <w:ind w:left="567" w:hanging="567"/>
      </w:pPr>
      <w:r w:rsidRPr="00B10359">
        <w:t>Intent of Part 2.9 – Special Purpose Foods</w:t>
      </w:r>
    </w:p>
    <w:p w14:paraId="548BF364" w14:textId="77777777" w:rsidR="004C4E0F" w:rsidRPr="00EB2937" w:rsidRDefault="004C4E0F" w:rsidP="004C4E0F">
      <w:pPr>
        <w:autoSpaceDE w:val="0"/>
        <w:autoSpaceDN w:val="0"/>
        <w:adjustRightInd w:val="0"/>
      </w:pPr>
    </w:p>
    <w:p w14:paraId="18051886" w14:textId="4F95C300" w:rsidR="004C4E0F" w:rsidRDefault="00B6043A" w:rsidP="004C4E0F">
      <w:r>
        <w:t xml:space="preserve">As discussed in section 2.3.3, </w:t>
      </w:r>
      <w:r w:rsidR="004C4E0F" w:rsidRPr="00EB2937">
        <w:t>FSANZ</w:t>
      </w:r>
      <w:r w:rsidR="004C4E0F">
        <w:t xml:space="preserve"> considers these policy guidelines have been adequately addressed. Our</w:t>
      </w:r>
      <w:r w:rsidR="004C4E0F" w:rsidRPr="00EB2937">
        <w:t xml:space="preserve"> assessment against the policy guidelines is </w:t>
      </w:r>
      <w:r>
        <w:t>also provided</w:t>
      </w:r>
      <w:r w:rsidR="004C4E0F" w:rsidRPr="00EB2937">
        <w:t xml:space="preserve"> </w:t>
      </w:r>
      <w:r>
        <w:t xml:space="preserve">in </w:t>
      </w:r>
      <w:hyperlink r:id="rId37" w:history="1">
        <w:r w:rsidR="004C4E0F" w:rsidRPr="00B6043A">
          <w:rPr>
            <w:rStyle w:val="Hyperlink"/>
          </w:rPr>
          <w:t>SD2</w:t>
        </w:r>
        <w:r w:rsidRPr="00B6043A">
          <w:rPr>
            <w:rStyle w:val="Hyperlink"/>
          </w:rPr>
          <w:t xml:space="preserve"> at 2</w:t>
        </w:r>
        <w:r w:rsidRPr="00B6043A">
          <w:rPr>
            <w:rStyle w:val="Hyperlink"/>
            <w:vertAlign w:val="superscript"/>
          </w:rPr>
          <w:t>nd</w:t>
        </w:r>
        <w:r w:rsidRPr="00B6043A">
          <w:rPr>
            <w:rStyle w:val="Hyperlink"/>
          </w:rPr>
          <w:t xml:space="preserve"> CFS</w:t>
        </w:r>
      </w:hyperlink>
      <w:r w:rsidR="004C4E0F" w:rsidRPr="00EB2937">
        <w:t xml:space="preserve">. </w:t>
      </w:r>
    </w:p>
    <w:p w14:paraId="392FE0D9" w14:textId="77777777" w:rsidR="004801C9" w:rsidRDefault="004801C9" w:rsidP="004801C9">
      <w:pPr>
        <w:spacing w:before="240"/>
        <w:rPr>
          <w:b/>
          <w:sz w:val="28"/>
          <w:szCs w:val="28"/>
        </w:rPr>
      </w:pPr>
      <w:r w:rsidRPr="006C22A7">
        <w:rPr>
          <w:b/>
          <w:sz w:val="28"/>
          <w:szCs w:val="28"/>
        </w:rPr>
        <w:t>A</w:t>
      </w:r>
      <w:r>
        <w:rPr>
          <w:b/>
          <w:sz w:val="28"/>
          <w:szCs w:val="28"/>
        </w:rPr>
        <w:t>ttachments</w:t>
      </w:r>
    </w:p>
    <w:p w14:paraId="7CD1C8EF" w14:textId="77777777" w:rsidR="004801C9" w:rsidRDefault="004801C9" w:rsidP="004801C9"/>
    <w:p w14:paraId="17166C71" w14:textId="49EEE072" w:rsidR="004801C9" w:rsidRDefault="004801C9" w:rsidP="004801C9">
      <w:pPr>
        <w:ind w:left="567" w:hanging="567"/>
      </w:pPr>
      <w:r>
        <w:t>A.</w:t>
      </w:r>
      <w:r>
        <w:tab/>
      </w:r>
      <w:r w:rsidRPr="009A2699">
        <w:t xml:space="preserve">Approved </w:t>
      </w:r>
      <w:r w:rsidR="007C5C51">
        <w:t xml:space="preserve">draft </w:t>
      </w:r>
      <w:r w:rsidR="007C5C51" w:rsidRPr="007C5C51">
        <w:t>variations</w:t>
      </w:r>
      <w:r w:rsidRPr="007C5C51">
        <w:t xml:space="preserve"> to </w:t>
      </w:r>
      <w:r>
        <w:t xml:space="preserve">the </w:t>
      </w:r>
      <w:r w:rsidRPr="000576EB">
        <w:rPr>
          <w:i/>
        </w:rPr>
        <w:t xml:space="preserve">Australia New </w:t>
      </w:r>
      <w:r>
        <w:rPr>
          <w:i/>
        </w:rPr>
        <w:t>Zealand Food Sta</w:t>
      </w:r>
      <w:r w:rsidRPr="000576EB">
        <w:rPr>
          <w:i/>
        </w:rPr>
        <w:t>n</w:t>
      </w:r>
      <w:r>
        <w:rPr>
          <w:i/>
        </w:rPr>
        <w:t>d</w:t>
      </w:r>
      <w:r w:rsidRPr="000576EB">
        <w:rPr>
          <w:i/>
        </w:rPr>
        <w:t>ards Code</w:t>
      </w:r>
      <w:r>
        <w:rPr>
          <w:i/>
        </w:rPr>
        <w:t xml:space="preserve"> </w:t>
      </w:r>
    </w:p>
    <w:p w14:paraId="524AE904" w14:textId="77777777" w:rsidR="004801C9" w:rsidRPr="007C5C51" w:rsidRDefault="004801C9" w:rsidP="004801C9">
      <w:pPr>
        <w:ind w:left="567" w:hanging="567"/>
      </w:pPr>
      <w:r w:rsidRPr="00456BD5">
        <w:t>B.</w:t>
      </w:r>
      <w:r w:rsidRPr="007C5C51">
        <w:tab/>
        <w:t xml:space="preserve">Explanatory Statement </w:t>
      </w:r>
    </w:p>
    <w:p w14:paraId="3121D890" w14:textId="4A38BE4B" w:rsidR="004801C9" w:rsidRPr="007C5C51" w:rsidRDefault="004801C9" w:rsidP="004801C9"/>
    <w:p w14:paraId="5398CA21" w14:textId="77777777" w:rsidR="004801C9" w:rsidRPr="00EB2937" w:rsidRDefault="004801C9" w:rsidP="004C4E0F"/>
    <w:p w14:paraId="55D2119E" w14:textId="04781338" w:rsidR="001122EC" w:rsidRPr="004C4E0F" w:rsidRDefault="0070659D" w:rsidP="004C4E0F">
      <w:pPr>
        <w:pStyle w:val="Heading1"/>
        <w:pageBreakBefore/>
      </w:pPr>
      <w:bookmarkStart w:id="158" w:name="_Toc22303686"/>
      <w:bookmarkStart w:id="159" w:name="_Toc22650349"/>
      <w:bookmarkStart w:id="160" w:name="_Toc11735643"/>
      <w:bookmarkStart w:id="161" w:name="_Toc29883130"/>
      <w:bookmarkStart w:id="162" w:name="_Toc41906817"/>
      <w:bookmarkStart w:id="163" w:name="_Toc41907564"/>
      <w:bookmarkStart w:id="164" w:name="_Toc43112360"/>
      <w:bookmarkEnd w:id="134"/>
      <w:r>
        <w:t>3</w:t>
      </w:r>
      <w:r w:rsidR="001122EC" w:rsidRPr="004C4E0F">
        <w:tab/>
        <w:t>R</w:t>
      </w:r>
      <w:r w:rsidR="000B427A" w:rsidRPr="004C4E0F">
        <w:t>eferences</w:t>
      </w:r>
      <w:bookmarkEnd w:id="158"/>
      <w:bookmarkEnd w:id="159"/>
    </w:p>
    <w:p w14:paraId="1B0BF807" w14:textId="1D53427B" w:rsidR="005B3A26" w:rsidRDefault="005B3A26" w:rsidP="00292C22">
      <w:pPr>
        <w:pStyle w:val="CommentText"/>
        <w:rPr>
          <w:sz w:val="22"/>
          <w:szCs w:val="22"/>
        </w:rPr>
      </w:pPr>
      <w:r w:rsidRPr="005B3A26">
        <w:rPr>
          <w:sz w:val="22"/>
          <w:szCs w:val="22"/>
        </w:rPr>
        <w:t>Alliet P, Puccio G, Janssens E, Cajozzo C, Corsello G, Berger B, Sperisen P, Martin F-P, Sprenger N, Steenhout P (2016) Term infant formula supplemented with human milk oligosaccharides (2'fucosyllactose and lacto-neotetraose) shifts stool microbiota and metabolic signatures closer to that of breastfed infants. J Pediatr Gastroenterol Nutr 63:S55. doi: 10.1097/01.mpg.0000489632.17881.57</w:t>
      </w:r>
    </w:p>
    <w:p w14:paraId="1E2A29CC" w14:textId="5949F1EB" w:rsidR="005B3A26" w:rsidRDefault="005B3A26" w:rsidP="00292C22">
      <w:pPr>
        <w:pStyle w:val="CommentText"/>
        <w:rPr>
          <w:sz w:val="22"/>
          <w:szCs w:val="22"/>
        </w:rPr>
      </w:pPr>
    </w:p>
    <w:p w14:paraId="04D2B1B2" w14:textId="491F88F9" w:rsidR="005B3A26" w:rsidRDefault="005B3A26" w:rsidP="00292C22">
      <w:pPr>
        <w:pStyle w:val="CommentText"/>
        <w:rPr>
          <w:sz w:val="22"/>
          <w:szCs w:val="22"/>
        </w:rPr>
      </w:pPr>
      <w:r w:rsidRPr="005B3A26">
        <w:rPr>
          <w:sz w:val="22"/>
          <w:szCs w:val="22"/>
        </w:rPr>
        <w:t>Asakuma S, Urashima T, Akahori M, Obayashi H, Nakamura T, Kimura K, Watanabe Y, Arai I, Sanai Y (2008) Variation of major neutral oligosaccharides levels in human colostrum. Eur J Clin Nutr 62:488–494. doi: 10.1038/sj.ejcn.1602738</w:t>
      </w:r>
    </w:p>
    <w:p w14:paraId="0A5274EF" w14:textId="77777777" w:rsidR="005B3A26" w:rsidRDefault="005B3A26" w:rsidP="00292C22">
      <w:pPr>
        <w:pStyle w:val="CommentText"/>
        <w:rPr>
          <w:sz w:val="22"/>
          <w:szCs w:val="22"/>
        </w:rPr>
      </w:pPr>
    </w:p>
    <w:p w14:paraId="0823690C" w14:textId="1F5856F0" w:rsidR="00292C22" w:rsidRPr="004801C9" w:rsidRDefault="00292C22" w:rsidP="00292C22">
      <w:pPr>
        <w:pStyle w:val="CommentText"/>
        <w:rPr>
          <w:sz w:val="22"/>
          <w:szCs w:val="22"/>
        </w:rPr>
      </w:pPr>
      <w:r w:rsidRPr="004801C9">
        <w:rPr>
          <w:sz w:val="22"/>
          <w:szCs w:val="22"/>
        </w:rPr>
        <w:t>Berry, N. J., Jones, S., &amp; Iverson, D. (2010). It's all formula to me: Women's understandings of toddler milk ads. Breastfeeding Review, 18, 21–30.</w:t>
      </w:r>
    </w:p>
    <w:p w14:paraId="51819985" w14:textId="77777777" w:rsidR="00292C22" w:rsidRPr="004801C9" w:rsidRDefault="00292C22" w:rsidP="00292C22">
      <w:pPr>
        <w:pStyle w:val="CommentText"/>
        <w:rPr>
          <w:sz w:val="22"/>
          <w:szCs w:val="22"/>
        </w:rPr>
      </w:pPr>
    </w:p>
    <w:p w14:paraId="73EB6AF0" w14:textId="77777777" w:rsidR="00292C22" w:rsidRPr="004801C9" w:rsidRDefault="00292C22" w:rsidP="00292C22">
      <w:pPr>
        <w:pStyle w:val="CommentText"/>
        <w:rPr>
          <w:sz w:val="22"/>
          <w:szCs w:val="22"/>
        </w:rPr>
      </w:pPr>
      <w:r w:rsidRPr="004801C9">
        <w:rPr>
          <w:sz w:val="22"/>
          <w:szCs w:val="22"/>
        </w:rPr>
        <w:t>Berry, N. J., Jones, S. C., &amp; Iverson, D. (2011). Relax, you're soaking in it: Sources of information about infant formula. Breastfeeding Review, 19, 9–18.</w:t>
      </w:r>
    </w:p>
    <w:p w14:paraId="29728169" w14:textId="77777777" w:rsidR="00292C22" w:rsidRPr="004801C9" w:rsidRDefault="00292C22" w:rsidP="00292C22">
      <w:pPr>
        <w:pStyle w:val="CommentText"/>
        <w:rPr>
          <w:sz w:val="22"/>
          <w:szCs w:val="22"/>
        </w:rPr>
      </w:pPr>
    </w:p>
    <w:p w14:paraId="28DB5550" w14:textId="77777777" w:rsidR="00292C22" w:rsidRDefault="00292C22" w:rsidP="00292C22">
      <w:pPr>
        <w:rPr>
          <w:szCs w:val="22"/>
        </w:rPr>
      </w:pPr>
      <w:r w:rsidRPr="004801C9">
        <w:rPr>
          <w:szCs w:val="22"/>
        </w:rPr>
        <w:t>Berry, N. J., Jones, S. C., &amp; Iverson, D. (2012). Toddler milk advertising in Australia: Infant formula advertising in disguise? Australasian Marketing Journal, 20, 24–27.</w:t>
      </w:r>
    </w:p>
    <w:p w14:paraId="7A7AE4A7" w14:textId="1573FDF3" w:rsidR="00E5694D" w:rsidRDefault="00E5694D" w:rsidP="00292C22">
      <w:pPr>
        <w:rPr>
          <w:szCs w:val="22"/>
        </w:rPr>
      </w:pPr>
    </w:p>
    <w:p w14:paraId="1DE20A5A" w14:textId="210DD632" w:rsidR="00E5694D" w:rsidRPr="004801C9" w:rsidRDefault="00E5694D" w:rsidP="00292C22">
      <w:pPr>
        <w:rPr>
          <w:szCs w:val="22"/>
        </w:rPr>
      </w:pPr>
      <w:r>
        <w:rPr>
          <w:szCs w:val="22"/>
        </w:rPr>
        <w:t>B</w:t>
      </w:r>
      <w:r w:rsidRPr="00E5694D">
        <w:rPr>
          <w:szCs w:val="22"/>
        </w:rPr>
        <w:t>ezirtzoglou E, Tsiotsias A, Welling GW (2011) Microbiota profile in feces of breast- and formula-fed newborns by using fluorescence in situ hybridization (FISH). Anaerobe 17:478–482. doi: 10.1016/j.anaerobe.2011.03.009</w:t>
      </w:r>
    </w:p>
    <w:p w14:paraId="0164B270" w14:textId="3264819F" w:rsidR="00292C22" w:rsidRPr="004801C9" w:rsidRDefault="00292C22" w:rsidP="00292C22">
      <w:pPr>
        <w:rPr>
          <w:szCs w:val="22"/>
        </w:rPr>
      </w:pPr>
    </w:p>
    <w:p w14:paraId="28729EEE" w14:textId="08D677E6" w:rsidR="005B3A26" w:rsidRDefault="005B3A26" w:rsidP="006278F4">
      <w:pPr>
        <w:widowControl/>
        <w:autoSpaceDE w:val="0"/>
        <w:autoSpaceDN w:val="0"/>
        <w:adjustRightInd w:val="0"/>
        <w:rPr>
          <w:rFonts w:cs="Arial"/>
          <w:szCs w:val="22"/>
          <w:lang w:eastAsia="en-GB" w:bidi="ar-SA"/>
        </w:rPr>
      </w:pPr>
      <w:r w:rsidRPr="005B3A26">
        <w:rPr>
          <w:rFonts w:cs="Arial"/>
          <w:szCs w:val="22"/>
          <w:lang w:eastAsia="en-GB" w:bidi="ar-SA"/>
        </w:rPr>
        <w:t>Bunesova V, Lacroix C, Schwab C (2016) Fucosyllactose and L-fucose utilization of infant Bifidobacterium longum and Bifidobacterium kashiwanohense. BMC Microbiol 16:248. doi: 10.1186/s12866-016-0867-4</w:t>
      </w:r>
    </w:p>
    <w:p w14:paraId="34B70ADD" w14:textId="76284E92" w:rsidR="005B3A26" w:rsidRDefault="005B3A26" w:rsidP="006278F4">
      <w:pPr>
        <w:widowControl/>
        <w:autoSpaceDE w:val="0"/>
        <w:autoSpaceDN w:val="0"/>
        <w:adjustRightInd w:val="0"/>
        <w:rPr>
          <w:rFonts w:cs="Arial"/>
          <w:szCs w:val="22"/>
          <w:lang w:eastAsia="en-GB" w:bidi="ar-SA"/>
        </w:rPr>
      </w:pPr>
    </w:p>
    <w:p w14:paraId="035B232A" w14:textId="53245E01" w:rsidR="00F73AFA" w:rsidRDefault="00F73AFA" w:rsidP="006278F4">
      <w:pPr>
        <w:widowControl/>
        <w:autoSpaceDE w:val="0"/>
        <w:autoSpaceDN w:val="0"/>
        <w:adjustRightInd w:val="0"/>
        <w:rPr>
          <w:rFonts w:cs="Arial"/>
          <w:szCs w:val="22"/>
          <w:lang w:eastAsia="en-GB" w:bidi="ar-SA"/>
        </w:rPr>
      </w:pPr>
      <w:r w:rsidRPr="00F73AFA">
        <w:rPr>
          <w:rFonts w:cs="Arial"/>
          <w:szCs w:val="22"/>
          <w:lang w:eastAsia="en-GB" w:bidi="ar-SA"/>
        </w:rPr>
        <w:t>Cacho NT, Lawrence RM (2017) Innate Immunity and Breast Milk. Front Immunol 8:584. doi: 10.3389/fimmu.2017.00584</w:t>
      </w:r>
    </w:p>
    <w:p w14:paraId="4E889244" w14:textId="77777777" w:rsidR="00F73AFA" w:rsidRDefault="00F73AFA" w:rsidP="006278F4">
      <w:pPr>
        <w:widowControl/>
        <w:autoSpaceDE w:val="0"/>
        <w:autoSpaceDN w:val="0"/>
        <w:adjustRightInd w:val="0"/>
        <w:rPr>
          <w:rFonts w:cs="Arial"/>
          <w:szCs w:val="22"/>
          <w:lang w:eastAsia="en-GB" w:bidi="ar-SA"/>
        </w:rPr>
      </w:pPr>
    </w:p>
    <w:p w14:paraId="331F0350" w14:textId="30B29846" w:rsidR="009774E8" w:rsidRPr="004801C9" w:rsidRDefault="006278F4" w:rsidP="006278F4">
      <w:pPr>
        <w:widowControl/>
        <w:autoSpaceDE w:val="0"/>
        <w:autoSpaceDN w:val="0"/>
        <w:adjustRightInd w:val="0"/>
        <w:rPr>
          <w:rFonts w:ascii="AdvOT0231c847" w:hAnsi="AdvOT0231c847" w:cs="AdvOT0231c847"/>
          <w:szCs w:val="22"/>
          <w:lang w:eastAsia="en-GB" w:bidi="ar-SA"/>
        </w:rPr>
      </w:pPr>
      <w:r w:rsidRPr="004801C9">
        <w:rPr>
          <w:rFonts w:cs="Arial"/>
          <w:szCs w:val="22"/>
          <w:lang w:eastAsia="en-GB" w:bidi="ar-SA"/>
        </w:rPr>
        <w:t>Cattaneo</w:t>
      </w:r>
      <w:r w:rsidR="00B634EE" w:rsidRPr="004801C9">
        <w:rPr>
          <w:rFonts w:cs="Arial"/>
          <w:szCs w:val="22"/>
          <w:lang w:eastAsia="en-GB" w:bidi="ar-SA"/>
        </w:rPr>
        <w:t>,</w:t>
      </w:r>
      <w:r w:rsidRPr="004801C9">
        <w:rPr>
          <w:rFonts w:cs="Arial"/>
          <w:szCs w:val="22"/>
          <w:lang w:eastAsia="en-GB" w:bidi="ar-SA"/>
        </w:rPr>
        <w:t xml:space="preserve"> A</w:t>
      </w:r>
      <w:r w:rsidR="00B634EE" w:rsidRPr="004801C9">
        <w:rPr>
          <w:rFonts w:cs="Arial"/>
          <w:szCs w:val="22"/>
          <w:lang w:eastAsia="en-GB" w:bidi="ar-SA"/>
        </w:rPr>
        <w:t>.</w:t>
      </w:r>
      <w:r w:rsidRPr="004801C9">
        <w:rPr>
          <w:rFonts w:cs="Arial"/>
          <w:szCs w:val="22"/>
          <w:lang w:eastAsia="en-GB" w:bidi="ar-SA"/>
        </w:rPr>
        <w:t xml:space="preserve"> Pani</w:t>
      </w:r>
      <w:r w:rsidR="00B634EE" w:rsidRPr="004801C9">
        <w:rPr>
          <w:rFonts w:cs="Arial"/>
          <w:szCs w:val="22"/>
          <w:lang w:eastAsia="en-GB" w:bidi="ar-SA"/>
        </w:rPr>
        <w:t>,</w:t>
      </w:r>
      <w:r w:rsidRPr="004801C9">
        <w:rPr>
          <w:rFonts w:cs="Arial"/>
          <w:szCs w:val="22"/>
          <w:lang w:eastAsia="en-GB" w:bidi="ar-SA"/>
        </w:rPr>
        <w:t xml:space="preserve"> P</w:t>
      </w:r>
      <w:r w:rsidR="00B634EE" w:rsidRPr="004801C9">
        <w:rPr>
          <w:rFonts w:cs="Arial"/>
          <w:szCs w:val="22"/>
          <w:lang w:eastAsia="en-GB" w:bidi="ar-SA"/>
        </w:rPr>
        <w:t>.</w:t>
      </w:r>
      <w:r w:rsidRPr="004801C9">
        <w:rPr>
          <w:rFonts w:cs="Arial"/>
          <w:szCs w:val="22"/>
          <w:lang w:eastAsia="en-GB" w:bidi="ar-SA"/>
        </w:rPr>
        <w:t xml:space="preserve"> Carletti</w:t>
      </w:r>
      <w:r w:rsidR="00B634EE" w:rsidRPr="004801C9">
        <w:rPr>
          <w:rFonts w:cs="Arial"/>
          <w:szCs w:val="22"/>
          <w:lang w:eastAsia="en-GB" w:bidi="ar-SA"/>
        </w:rPr>
        <w:t>,</w:t>
      </w:r>
      <w:r w:rsidRPr="004801C9">
        <w:rPr>
          <w:rFonts w:cs="Arial"/>
          <w:szCs w:val="22"/>
          <w:lang w:eastAsia="en-GB" w:bidi="ar-SA"/>
        </w:rPr>
        <w:t xml:space="preserve"> C</w:t>
      </w:r>
      <w:r w:rsidR="00B634EE" w:rsidRPr="004801C9">
        <w:rPr>
          <w:rFonts w:cs="Arial"/>
          <w:szCs w:val="22"/>
          <w:lang w:eastAsia="en-GB" w:bidi="ar-SA"/>
        </w:rPr>
        <w:t>.</w:t>
      </w:r>
      <w:r w:rsidRPr="004801C9">
        <w:rPr>
          <w:rFonts w:cs="Arial"/>
          <w:szCs w:val="22"/>
          <w:lang w:eastAsia="en-GB" w:bidi="ar-SA"/>
        </w:rPr>
        <w:t xml:space="preserve"> Guidetti</w:t>
      </w:r>
      <w:r w:rsidR="00B634EE" w:rsidRPr="004801C9">
        <w:rPr>
          <w:rFonts w:cs="Arial"/>
          <w:szCs w:val="22"/>
          <w:lang w:eastAsia="en-GB" w:bidi="ar-SA"/>
        </w:rPr>
        <w:t>,</w:t>
      </w:r>
      <w:r w:rsidRPr="004801C9">
        <w:rPr>
          <w:rFonts w:cs="Arial"/>
          <w:szCs w:val="22"/>
          <w:lang w:eastAsia="en-GB" w:bidi="ar-SA"/>
        </w:rPr>
        <w:t xml:space="preserve"> M</w:t>
      </w:r>
      <w:r w:rsidR="00B634EE" w:rsidRPr="004801C9">
        <w:rPr>
          <w:rFonts w:cs="Arial"/>
          <w:szCs w:val="22"/>
          <w:lang w:eastAsia="en-GB" w:bidi="ar-SA"/>
        </w:rPr>
        <w:t>.</w:t>
      </w:r>
      <w:r w:rsidRPr="004801C9">
        <w:rPr>
          <w:rFonts w:cs="Arial"/>
          <w:szCs w:val="22"/>
          <w:lang w:eastAsia="en-GB" w:bidi="ar-SA"/>
        </w:rPr>
        <w:t xml:space="preserve"> Mutti</w:t>
      </w:r>
      <w:r w:rsidR="00B634EE" w:rsidRPr="004801C9">
        <w:rPr>
          <w:rFonts w:cs="Arial"/>
          <w:szCs w:val="22"/>
          <w:lang w:eastAsia="en-GB" w:bidi="ar-SA"/>
        </w:rPr>
        <w:t>,</w:t>
      </w:r>
      <w:r w:rsidRPr="004801C9">
        <w:rPr>
          <w:rFonts w:cs="Arial"/>
          <w:szCs w:val="22"/>
          <w:lang w:eastAsia="en-GB" w:bidi="ar-SA"/>
        </w:rPr>
        <w:t xml:space="preserve"> V</w:t>
      </w:r>
      <w:r w:rsidR="00B634EE" w:rsidRPr="004801C9">
        <w:rPr>
          <w:rFonts w:cs="Arial"/>
          <w:szCs w:val="22"/>
          <w:lang w:eastAsia="en-GB" w:bidi="ar-SA"/>
        </w:rPr>
        <w:t>.</w:t>
      </w:r>
      <w:r w:rsidRPr="004801C9">
        <w:rPr>
          <w:rFonts w:cs="Arial"/>
          <w:szCs w:val="22"/>
          <w:lang w:eastAsia="en-GB" w:bidi="ar-SA"/>
        </w:rPr>
        <w:t xml:space="preserve"> Guidetti</w:t>
      </w:r>
      <w:r w:rsidR="00B634EE" w:rsidRPr="004801C9">
        <w:rPr>
          <w:rFonts w:cs="Arial"/>
          <w:szCs w:val="22"/>
          <w:lang w:eastAsia="en-GB" w:bidi="ar-SA"/>
        </w:rPr>
        <w:t>,</w:t>
      </w:r>
      <w:r w:rsidRPr="004801C9">
        <w:rPr>
          <w:rFonts w:cs="Arial"/>
          <w:szCs w:val="22"/>
          <w:lang w:eastAsia="en-GB" w:bidi="ar-SA"/>
        </w:rPr>
        <w:t xml:space="preserve"> C</w:t>
      </w:r>
      <w:r w:rsidR="00B634EE" w:rsidRPr="004801C9">
        <w:rPr>
          <w:rFonts w:cs="Arial"/>
          <w:szCs w:val="22"/>
          <w:lang w:eastAsia="en-GB" w:bidi="ar-SA"/>
        </w:rPr>
        <w:t>.</w:t>
      </w:r>
      <w:r w:rsidRPr="004801C9">
        <w:rPr>
          <w:rFonts w:cs="Arial"/>
          <w:szCs w:val="22"/>
          <w:lang w:eastAsia="en-GB" w:bidi="ar-SA"/>
        </w:rPr>
        <w:t xml:space="preserve"> Knowles</w:t>
      </w:r>
      <w:r w:rsidR="00B634EE" w:rsidRPr="004801C9">
        <w:rPr>
          <w:rFonts w:cs="Arial"/>
          <w:szCs w:val="22"/>
          <w:lang w:eastAsia="en-GB" w:bidi="ar-SA"/>
        </w:rPr>
        <w:t>,</w:t>
      </w:r>
      <w:r w:rsidRPr="004801C9">
        <w:rPr>
          <w:rFonts w:cs="Arial"/>
          <w:szCs w:val="22"/>
          <w:lang w:eastAsia="en-GB" w:bidi="ar-SA"/>
        </w:rPr>
        <w:t xml:space="preserve"> A</w:t>
      </w:r>
      <w:r w:rsidR="00B634EE" w:rsidRPr="004801C9">
        <w:rPr>
          <w:rFonts w:cs="Arial"/>
          <w:szCs w:val="22"/>
          <w:lang w:eastAsia="en-GB" w:bidi="ar-SA"/>
        </w:rPr>
        <w:t>.</w:t>
      </w:r>
      <w:r w:rsidRPr="004801C9">
        <w:rPr>
          <w:rFonts w:cs="Arial"/>
          <w:szCs w:val="22"/>
          <w:lang w:eastAsia="en-GB" w:bidi="ar-SA"/>
        </w:rPr>
        <w:t xml:space="preserve"> (2014) </w:t>
      </w:r>
      <w:r w:rsidR="00B634EE" w:rsidRPr="004801C9">
        <w:rPr>
          <w:rFonts w:cs="Arial"/>
          <w:szCs w:val="22"/>
          <w:lang w:eastAsia="en-GB" w:bidi="ar-SA"/>
        </w:rPr>
        <w:t>Advertisements of follow-on formula and their perception by pregnant women and mothers in Italy. Archives of Disease in Childhood.</w:t>
      </w:r>
      <w:r w:rsidRPr="004801C9">
        <w:rPr>
          <w:rFonts w:cs="Arial"/>
          <w:szCs w:val="22"/>
          <w:lang w:eastAsia="en-GB" w:bidi="ar-SA"/>
        </w:rPr>
        <w:t xml:space="preserve"> </w:t>
      </w:r>
      <w:r w:rsidRPr="004801C9">
        <w:rPr>
          <w:rFonts w:ascii="AdvOT0231c847" w:hAnsi="AdvOT0231c847" w:cs="AdvOT0231c847"/>
          <w:szCs w:val="22"/>
          <w:lang w:eastAsia="en-GB" w:bidi="ar-SA"/>
        </w:rPr>
        <w:t>doi:10.1136/archdischild-2014-306996</w:t>
      </w:r>
    </w:p>
    <w:p w14:paraId="359E7E99" w14:textId="64A2A877" w:rsidR="00B149FE" w:rsidRPr="004801C9" w:rsidRDefault="00B149FE" w:rsidP="006278F4">
      <w:pPr>
        <w:rPr>
          <w:szCs w:val="22"/>
        </w:rPr>
      </w:pPr>
    </w:p>
    <w:p w14:paraId="201467DC" w14:textId="24DAD274" w:rsidR="00294265" w:rsidRPr="004801C9" w:rsidRDefault="00294265" w:rsidP="00294265">
      <w:pPr>
        <w:rPr>
          <w:szCs w:val="22"/>
        </w:rPr>
      </w:pPr>
      <w:r w:rsidRPr="004801C9">
        <w:rPr>
          <w:szCs w:val="22"/>
        </w:rPr>
        <w:t xml:space="preserve">Clifton R, Simmons J, Ahmad S (Eds) </w:t>
      </w:r>
      <w:r w:rsidR="00B5441A">
        <w:rPr>
          <w:szCs w:val="22"/>
        </w:rPr>
        <w:t>(</w:t>
      </w:r>
      <w:r w:rsidRPr="004801C9">
        <w:rPr>
          <w:szCs w:val="22"/>
        </w:rPr>
        <w:t>2004</w:t>
      </w:r>
      <w:r w:rsidR="00B5441A">
        <w:rPr>
          <w:szCs w:val="22"/>
        </w:rPr>
        <w:t>)</w:t>
      </w:r>
      <w:r w:rsidRPr="004801C9">
        <w:rPr>
          <w:szCs w:val="22"/>
        </w:rPr>
        <w:t>, Brands and Branding. Bloomberg Press, Princeton.</w:t>
      </w:r>
    </w:p>
    <w:p w14:paraId="3763037B" w14:textId="458ABCAE" w:rsidR="00F05DF2" w:rsidRPr="004801C9" w:rsidRDefault="00F05DF2" w:rsidP="00294265">
      <w:pPr>
        <w:rPr>
          <w:szCs w:val="22"/>
        </w:rPr>
      </w:pPr>
    </w:p>
    <w:p w14:paraId="76753E5E" w14:textId="6241BA21" w:rsidR="00F05DF2" w:rsidRPr="004801C9" w:rsidRDefault="00F05DF2" w:rsidP="00294265">
      <w:pPr>
        <w:rPr>
          <w:szCs w:val="22"/>
        </w:rPr>
      </w:pPr>
      <w:r w:rsidRPr="004801C9">
        <w:rPr>
          <w:szCs w:val="22"/>
        </w:rPr>
        <w:t xml:space="preserve">Champeny, M., Hou, K., Issakha Diop, E., Yaga Sy Gueye, N., Pries, AM., Zehner, E., Badham, J., Huffman, SL. (2019) Prevalence, duration, and content of television advertisements for breast milk substitutes and commercially produced complementary foods in Phnom Penh, Cambodia and Dakar, Senegal. Maternal and Child Nutrition 15, supplement 4. doi: 10.1111/mcn.12781  </w:t>
      </w:r>
    </w:p>
    <w:p w14:paraId="383C4496" w14:textId="77777777" w:rsidR="00294265" w:rsidRPr="004801C9" w:rsidRDefault="00294265" w:rsidP="006278F4">
      <w:pPr>
        <w:rPr>
          <w:szCs w:val="22"/>
        </w:rPr>
      </w:pPr>
    </w:p>
    <w:p w14:paraId="0F1E1409" w14:textId="77777777" w:rsidR="00292C22" w:rsidRPr="004801C9" w:rsidRDefault="00292C22" w:rsidP="00292C22">
      <w:pPr>
        <w:rPr>
          <w:szCs w:val="22"/>
        </w:rPr>
      </w:pPr>
      <w:r w:rsidRPr="004801C9">
        <w:rPr>
          <w:szCs w:val="22"/>
        </w:rPr>
        <w:t xml:space="preserve">Department of Health Hong Kong SAR Government (2013). Survey on Mothers’ views of Formula milk promotion and information on infant and you child feeding. Available at: </w:t>
      </w:r>
      <w:hyperlink r:id="rId38" w:history="1">
        <w:r w:rsidRPr="004801C9">
          <w:rPr>
            <w:rStyle w:val="Hyperlink"/>
            <w:szCs w:val="22"/>
          </w:rPr>
          <w:t>https://www.fhs.gov.hk/english/archive/files/reports/Survey_on_Mothers_views_on_FM_promotion_full_2016_final.pdf</w:t>
        </w:r>
      </w:hyperlink>
      <w:r w:rsidRPr="004801C9">
        <w:rPr>
          <w:szCs w:val="22"/>
        </w:rPr>
        <w:t xml:space="preserve"> </w:t>
      </w:r>
    </w:p>
    <w:p w14:paraId="0FF34A3B" w14:textId="401D3BCB" w:rsidR="00292C22" w:rsidRPr="004801C9" w:rsidRDefault="00292C22" w:rsidP="00292C22">
      <w:pPr>
        <w:rPr>
          <w:szCs w:val="22"/>
        </w:rPr>
      </w:pPr>
    </w:p>
    <w:p w14:paraId="26C24115" w14:textId="365CCD6B" w:rsidR="00F73AFA" w:rsidRDefault="00F73AFA" w:rsidP="00292C22">
      <w:pPr>
        <w:rPr>
          <w:szCs w:val="22"/>
        </w:rPr>
      </w:pPr>
      <w:r w:rsidRPr="00F73AFA">
        <w:rPr>
          <w:szCs w:val="22"/>
        </w:rPr>
        <w:t>Duijts L, Jaddoe VWV, Hofman A, Moll HA (2010) Prolonged and exclusive breastfeeding reduces the risk of infectious diseases in infancy. Pediatrics 126:e18-25. doi: 10.1542/peds.2008-3256</w:t>
      </w:r>
    </w:p>
    <w:p w14:paraId="3A9C8D5B" w14:textId="77777777" w:rsidR="00F73AFA" w:rsidRDefault="00F73AFA" w:rsidP="00292C22">
      <w:pPr>
        <w:rPr>
          <w:szCs w:val="22"/>
        </w:rPr>
      </w:pPr>
    </w:p>
    <w:p w14:paraId="3A971FBC" w14:textId="59E98D87" w:rsidR="00B5441A" w:rsidRDefault="00B5441A" w:rsidP="00292C22">
      <w:pPr>
        <w:rPr>
          <w:szCs w:val="22"/>
        </w:rPr>
      </w:pPr>
      <w:r>
        <w:rPr>
          <w:szCs w:val="22"/>
        </w:rPr>
        <w:t xml:space="preserve">EFSA (2014) </w:t>
      </w:r>
      <w:r w:rsidRPr="00B5441A">
        <w:rPr>
          <w:szCs w:val="22"/>
        </w:rPr>
        <w:t>Scientific Opinion on the essential composition of infant and follow-on formulae</w:t>
      </w:r>
      <w:r>
        <w:rPr>
          <w:szCs w:val="22"/>
        </w:rPr>
        <w:t xml:space="preserve">. </w:t>
      </w:r>
      <w:r w:rsidRPr="00B5441A">
        <w:rPr>
          <w:szCs w:val="22"/>
        </w:rPr>
        <w:t>EFSA Journal</w:t>
      </w:r>
      <w:r>
        <w:rPr>
          <w:szCs w:val="22"/>
        </w:rPr>
        <w:t xml:space="preserve"> </w:t>
      </w:r>
      <w:r w:rsidRPr="00B5441A">
        <w:rPr>
          <w:szCs w:val="22"/>
        </w:rPr>
        <w:t>12(7):3760</w:t>
      </w:r>
      <w:r>
        <w:rPr>
          <w:szCs w:val="22"/>
        </w:rPr>
        <w:t xml:space="preserve">. </w:t>
      </w:r>
      <w:r w:rsidRPr="00B5441A">
        <w:rPr>
          <w:szCs w:val="22"/>
        </w:rPr>
        <w:t>doi:10.2903/j.efsa.2014.3760</w:t>
      </w:r>
    </w:p>
    <w:p w14:paraId="6FE76269" w14:textId="322DD0AB" w:rsidR="004D2CF1" w:rsidRDefault="004D2CF1" w:rsidP="00292C22">
      <w:pPr>
        <w:rPr>
          <w:szCs w:val="22"/>
        </w:rPr>
      </w:pPr>
    </w:p>
    <w:p w14:paraId="22AB070A" w14:textId="5ECC8354" w:rsidR="004D2CF1" w:rsidRDefault="004D2CF1" w:rsidP="00292C22">
      <w:pPr>
        <w:rPr>
          <w:szCs w:val="22"/>
        </w:rPr>
      </w:pPr>
      <w:r w:rsidRPr="004D2CF1">
        <w:rPr>
          <w:szCs w:val="22"/>
        </w:rPr>
        <w:t>Elison E, Vigsnaes LK, Rindom Krogsgaard L, Rasmussen J, Sørensen N, McConnell B, Hennet T, Sommer MOA, Bytzer P (2016) Oral supplementation of healthy adults with 2′-O-fucosyllactose and lacto-N-neotetraose is well tolerated and shifts the intestinal microbiota. Br J Nutr 116:1356–1368. doi: 10.1017/S0007114516003354</w:t>
      </w:r>
    </w:p>
    <w:p w14:paraId="57FE4A34" w14:textId="77777777" w:rsidR="00B5441A" w:rsidRDefault="00B5441A" w:rsidP="00292C22">
      <w:pPr>
        <w:rPr>
          <w:szCs w:val="22"/>
        </w:rPr>
      </w:pPr>
    </w:p>
    <w:p w14:paraId="38A01AA5" w14:textId="77777777" w:rsidR="005B3A26" w:rsidRPr="005B3A26" w:rsidRDefault="005B3A26" w:rsidP="005B3A26">
      <w:pPr>
        <w:rPr>
          <w:szCs w:val="22"/>
        </w:rPr>
      </w:pPr>
      <w:r w:rsidRPr="005B3A26">
        <w:rPr>
          <w:szCs w:val="22"/>
        </w:rPr>
        <w:t>Garrido D, Ruiz-Moyano S, Lemay DG, Sela DA, German JB, Mills DA (2015) Comparative transcriptomics reveals key differences in the response to milk oligosaccharides of infant gut-associated bifidobacteria. Sci Rep 5:13517. doi: 10.1038/srep13517</w:t>
      </w:r>
    </w:p>
    <w:p w14:paraId="712AECFA" w14:textId="77777777" w:rsidR="005B3A26" w:rsidRPr="005B3A26" w:rsidRDefault="005B3A26" w:rsidP="005B3A26">
      <w:pPr>
        <w:rPr>
          <w:szCs w:val="22"/>
        </w:rPr>
      </w:pPr>
    </w:p>
    <w:p w14:paraId="017FAC83" w14:textId="16D22623" w:rsidR="005B3A26" w:rsidRDefault="005B3A26" w:rsidP="005B3A26">
      <w:pPr>
        <w:rPr>
          <w:szCs w:val="22"/>
        </w:rPr>
      </w:pPr>
      <w:r w:rsidRPr="005B3A26">
        <w:rPr>
          <w:szCs w:val="22"/>
        </w:rPr>
        <w:t>Garrido D, Ruiz-Moyano S, Kirmiz N, Davis JC, Totten SM, Lemay DG, Ugalde JA, German JB, Lebrilla CB, Mills DA (2016) A novel gene cluster allows preferential utilization of fucosylated milk oligosaccharides in Bifidobacterium longum subsp. longum SC596. Sci Rep 6:35045. doi: 10.1038/srep35045</w:t>
      </w:r>
    </w:p>
    <w:p w14:paraId="5638157D" w14:textId="77777777" w:rsidR="005B3A26" w:rsidRDefault="005B3A26" w:rsidP="00292C22">
      <w:pPr>
        <w:rPr>
          <w:szCs w:val="22"/>
        </w:rPr>
      </w:pPr>
    </w:p>
    <w:p w14:paraId="1AE0458A" w14:textId="4DF590B7" w:rsidR="00B149FE" w:rsidRDefault="00B149FE" w:rsidP="00292C22">
      <w:pPr>
        <w:rPr>
          <w:szCs w:val="22"/>
        </w:rPr>
      </w:pPr>
      <w:r>
        <w:rPr>
          <w:szCs w:val="22"/>
        </w:rPr>
        <w:t xml:space="preserve">Hong Kong Centre for Food Safety </w:t>
      </w:r>
      <w:r w:rsidR="005F09B7">
        <w:rPr>
          <w:szCs w:val="22"/>
        </w:rPr>
        <w:t>(</w:t>
      </w:r>
      <w:r>
        <w:rPr>
          <w:szCs w:val="22"/>
        </w:rPr>
        <w:t>2016</w:t>
      </w:r>
      <w:r w:rsidR="005F09B7">
        <w:rPr>
          <w:szCs w:val="22"/>
        </w:rPr>
        <w:t>)</w:t>
      </w:r>
      <w:r>
        <w:rPr>
          <w:szCs w:val="22"/>
        </w:rPr>
        <w:t xml:space="preserve"> Technical Guidance Notes on Nutrition Labelling and Nutrition Claims . Centre for Food Safety, Food and Environmental Hygiene Department </w:t>
      </w:r>
      <w:hyperlink r:id="rId39" w:history="1">
        <w:r w:rsidRPr="008A259C">
          <w:rPr>
            <w:rStyle w:val="Hyperlink"/>
            <w:szCs w:val="22"/>
          </w:rPr>
          <w:t>https://www.cfs.gov.hk/english/food_leg/files/Formula_Products_for_Infants/Technical_Guidance_Notes_e.pdf</w:t>
        </w:r>
      </w:hyperlink>
    </w:p>
    <w:p w14:paraId="69743F0B" w14:textId="68EB7F52" w:rsidR="00B149FE" w:rsidRDefault="00B149FE" w:rsidP="00292C22">
      <w:pPr>
        <w:rPr>
          <w:szCs w:val="22"/>
        </w:rPr>
      </w:pPr>
    </w:p>
    <w:p w14:paraId="2D804D73" w14:textId="00D85D5E" w:rsidR="005F09B7" w:rsidRPr="005F09B7" w:rsidRDefault="005F09B7" w:rsidP="005F09B7">
      <w:pPr>
        <w:rPr>
          <w:szCs w:val="22"/>
        </w:rPr>
      </w:pPr>
      <w:r w:rsidRPr="005F09B7">
        <w:rPr>
          <w:szCs w:val="22"/>
        </w:rPr>
        <w:t>Institute of Medicine</w:t>
      </w:r>
      <w:r>
        <w:rPr>
          <w:szCs w:val="22"/>
        </w:rPr>
        <w:t xml:space="preserve"> (</w:t>
      </w:r>
      <w:r w:rsidRPr="005F09B7">
        <w:rPr>
          <w:szCs w:val="22"/>
        </w:rPr>
        <w:t>2004</w:t>
      </w:r>
      <w:r>
        <w:rPr>
          <w:szCs w:val="22"/>
        </w:rPr>
        <w:t>)</w:t>
      </w:r>
      <w:r w:rsidRPr="005F09B7">
        <w:rPr>
          <w:szCs w:val="22"/>
        </w:rPr>
        <w:t xml:space="preserve"> Infant Formula: Evaluating the Safety of New Ingredients. Washington, DC: The National Academies Press. https://doi.org/10.17226/10935</w:t>
      </w:r>
    </w:p>
    <w:p w14:paraId="5976CE5C" w14:textId="77777777" w:rsidR="005F09B7" w:rsidRPr="004801C9" w:rsidRDefault="005F09B7" w:rsidP="00292C22">
      <w:pPr>
        <w:rPr>
          <w:szCs w:val="22"/>
        </w:rPr>
      </w:pPr>
    </w:p>
    <w:p w14:paraId="6B353847" w14:textId="77777777" w:rsidR="00F73AFA" w:rsidRPr="00F73AFA" w:rsidRDefault="00F73AFA" w:rsidP="00F73AFA">
      <w:pPr>
        <w:rPr>
          <w:szCs w:val="22"/>
        </w:rPr>
      </w:pPr>
      <w:r w:rsidRPr="00F73AFA">
        <w:rPr>
          <w:szCs w:val="22"/>
        </w:rPr>
        <w:t>Kramer MS, Chalmers B, Hodnett ED, Sevkovskaya Z, Dzikovich I, Shapiro S, Collet JP, Vanilovich I, Mezen I, Ducruet T, Shishko G, Zubovich V, Mknuik D, Gluchanina E, Dombrovskiy V, Ustinovitch A, Kot T, Bogdanovich N, Ovchinikova L, Helsing E (2001) Promotion of Breastfeeding Intervention Trial (PROBIT): A randomized trial in the Republic of Belarus. JAMA 285:413–420</w:t>
      </w:r>
    </w:p>
    <w:p w14:paraId="73BCF04E" w14:textId="77777777" w:rsidR="00F73AFA" w:rsidRPr="00F73AFA" w:rsidRDefault="00F73AFA" w:rsidP="00F73AFA">
      <w:pPr>
        <w:rPr>
          <w:szCs w:val="22"/>
        </w:rPr>
      </w:pPr>
    </w:p>
    <w:p w14:paraId="5A7DC523" w14:textId="325BCB8F" w:rsidR="00F73AFA" w:rsidRDefault="00F73AFA" w:rsidP="00F73AFA">
      <w:pPr>
        <w:rPr>
          <w:szCs w:val="22"/>
        </w:rPr>
      </w:pPr>
      <w:r w:rsidRPr="00F73AFA">
        <w:rPr>
          <w:szCs w:val="22"/>
        </w:rPr>
        <w:t>Kramer MS, Guo T, Platt RW, Sevkovskaya Z, Dzikovich I, Collet J-P, Shapiro S, Chalmers B, Hodnett E, Vanilovich I, Mezen I, Ducruet T, Shishko G, Bogdanovich N (2003) Infant growth and health outcomes associated with 3 compared with 6 mo of exclusive breastfeeding. The American Journal of Clinical Nutrition 78:291–295. doi: 10.1093/ajcn/78.2.291</w:t>
      </w:r>
    </w:p>
    <w:p w14:paraId="7DBCDB0D" w14:textId="77777777" w:rsidR="00F73AFA" w:rsidRDefault="00F73AFA" w:rsidP="00292C22">
      <w:pPr>
        <w:rPr>
          <w:szCs w:val="22"/>
        </w:rPr>
      </w:pPr>
    </w:p>
    <w:p w14:paraId="61A95091" w14:textId="3B72E4EF" w:rsidR="00F73AFA" w:rsidRDefault="00F73AFA" w:rsidP="00292C22">
      <w:pPr>
        <w:rPr>
          <w:szCs w:val="22"/>
        </w:rPr>
      </w:pPr>
      <w:r w:rsidRPr="00F73AFA">
        <w:rPr>
          <w:szCs w:val="22"/>
        </w:rPr>
        <w:t>Lawrence RM, Pane CA (2007) Human breast milk: Current concepts of immunology and infectious diseases. Curr Probl Pediatr Adolesc Health Care 37:7–36. doi: 10.1016/j.cppeds.2006.10.002</w:t>
      </w:r>
    </w:p>
    <w:p w14:paraId="28CDD0D8" w14:textId="77777777" w:rsidR="00F73AFA" w:rsidRDefault="00F73AFA" w:rsidP="00292C22">
      <w:pPr>
        <w:rPr>
          <w:szCs w:val="22"/>
        </w:rPr>
      </w:pPr>
    </w:p>
    <w:p w14:paraId="4D368781" w14:textId="3AF6CAC6" w:rsidR="005B3A26" w:rsidRDefault="005B3A26" w:rsidP="00292C22">
      <w:pPr>
        <w:rPr>
          <w:szCs w:val="22"/>
        </w:rPr>
      </w:pPr>
      <w:r w:rsidRPr="005B3A26">
        <w:rPr>
          <w:szCs w:val="22"/>
        </w:rPr>
        <w:t>Lewis ZT, Totten SM, Smilowitz JT, Popovic M, Parker E, Lemay DG, van Tassell ML, Miller MJ, Jin Y-S, German JB, Lebrilla CB, Mills DA (2015) Maternal fucosyltransferase 2 status affects the gut bifidobacterial communities of breastfed infants. Microbiome 3:13. doi: 10.1186/s40168-015-0071-z</w:t>
      </w:r>
    </w:p>
    <w:p w14:paraId="07CC848C" w14:textId="77777777" w:rsidR="005B3A26" w:rsidRDefault="005B3A26" w:rsidP="00292C22">
      <w:pPr>
        <w:rPr>
          <w:szCs w:val="22"/>
        </w:rPr>
      </w:pPr>
    </w:p>
    <w:p w14:paraId="037377D1" w14:textId="22112BDD" w:rsidR="00292C22" w:rsidRPr="004801C9" w:rsidRDefault="00292C22" w:rsidP="00292C22">
      <w:pPr>
        <w:rPr>
          <w:szCs w:val="22"/>
        </w:rPr>
      </w:pPr>
      <w:r w:rsidRPr="004801C9">
        <w:rPr>
          <w:szCs w:val="22"/>
        </w:rPr>
        <w:t xml:space="preserve">Malek, L., Fowler, H., Duffy, G., Katzer, L. (2019). Informed choice or guessing game? Understanding caregivers' perceptions and use of infant formula labelling. Public Health Nutrition 22, 273–286. </w:t>
      </w:r>
      <w:r w:rsidR="009774E8" w:rsidRPr="004801C9">
        <w:rPr>
          <w:szCs w:val="22"/>
        </w:rPr>
        <w:t xml:space="preserve">doi: </w:t>
      </w:r>
      <w:r w:rsidRPr="004801C9">
        <w:rPr>
          <w:szCs w:val="22"/>
        </w:rPr>
        <w:t>10.1017/S1368980018003178.</w:t>
      </w:r>
    </w:p>
    <w:p w14:paraId="59098562" w14:textId="2DCE0C98" w:rsidR="00FB06E7" w:rsidRPr="004801C9" w:rsidRDefault="00FB06E7" w:rsidP="00292C22">
      <w:pPr>
        <w:rPr>
          <w:szCs w:val="22"/>
        </w:rPr>
      </w:pPr>
    </w:p>
    <w:p w14:paraId="38F76DE2" w14:textId="7B91621C" w:rsidR="00E5694D" w:rsidRPr="004801C9" w:rsidRDefault="00E5694D" w:rsidP="00292C22">
      <w:pPr>
        <w:rPr>
          <w:szCs w:val="22"/>
        </w:rPr>
      </w:pPr>
      <w:r w:rsidRPr="00E5694D">
        <w:rPr>
          <w:szCs w:val="22"/>
        </w:rPr>
        <w:t>Milani C, Duranti S, Bottacini F, Casey E, Turroni F, Mahony J, Belzer C, Delgado Palacio S, Arboleya Montes S, Mancabelli L, Lugli GA, Rodriguez JM, Bode L, Vos W de, Gueimonde M, Margolles A, van Sinderen D, Ventura M (2017) The First Microbial Colonizers of the Human Gut: Composition, Activities, and Health Implications of the Infant Gut Microbiota. Microbiol Mol Biol Rev 81. doi: 10.1128/MMBR.00036-17</w:t>
      </w:r>
    </w:p>
    <w:p w14:paraId="4419CDFC" w14:textId="3D13B2B7" w:rsidR="003B0A65" w:rsidRDefault="003B0A65" w:rsidP="00292C22">
      <w:pPr>
        <w:rPr>
          <w:szCs w:val="22"/>
        </w:rPr>
      </w:pPr>
    </w:p>
    <w:p w14:paraId="27F2609C" w14:textId="77777777" w:rsidR="009B64DA" w:rsidRDefault="009B64DA" w:rsidP="00143EF2">
      <w:pPr>
        <w:keepNext/>
        <w:keepLines/>
      </w:pPr>
      <w:r>
        <w:t>Mohammadkhah AI, Simpson EB, Patterson SG and Ferguson JF.(2018) Development of the Gut Microbiome in Children, and Lifetime Implications for Obesity and Cardiometabolic Disease. Children</w:t>
      </w:r>
      <w:r w:rsidRPr="00494ADF">
        <w:t>, 5, 160; doi:10.3390/children5120160</w:t>
      </w:r>
    </w:p>
    <w:p w14:paraId="37BBEEF9" w14:textId="77777777" w:rsidR="009B64DA" w:rsidRPr="004801C9" w:rsidRDefault="009B64DA" w:rsidP="00143EF2">
      <w:pPr>
        <w:keepNext/>
        <w:keepLines/>
        <w:rPr>
          <w:szCs w:val="22"/>
        </w:rPr>
      </w:pPr>
    </w:p>
    <w:p w14:paraId="03469469" w14:textId="6CDD433D" w:rsidR="00FB06E7" w:rsidRPr="004801C9" w:rsidRDefault="00FB06E7" w:rsidP="00292C22">
      <w:pPr>
        <w:rPr>
          <w:szCs w:val="22"/>
        </w:rPr>
      </w:pPr>
      <w:r w:rsidRPr="004801C9">
        <w:rPr>
          <w:szCs w:val="22"/>
        </w:rPr>
        <w:t>Parry, K., Taylor, E., Hall-Dardess, P., Walker, M., Labbok, M. (2013)</w:t>
      </w:r>
      <w:r w:rsidR="009774E8" w:rsidRPr="004801C9">
        <w:rPr>
          <w:szCs w:val="22"/>
        </w:rPr>
        <w:t>.</w:t>
      </w:r>
      <w:r w:rsidRPr="004801C9">
        <w:rPr>
          <w:szCs w:val="22"/>
        </w:rPr>
        <w:t xml:space="preserve"> Understanding women</w:t>
      </w:r>
      <w:r w:rsidR="009774E8" w:rsidRPr="004801C9">
        <w:rPr>
          <w:szCs w:val="22"/>
        </w:rPr>
        <w:t xml:space="preserve">’s interpretations of infant formula advertising. Birth 40, 114-124. </w:t>
      </w:r>
      <w:r w:rsidRPr="004801C9">
        <w:rPr>
          <w:szCs w:val="22"/>
        </w:rPr>
        <w:t xml:space="preserve"> </w:t>
      </w:r>
    </w:p>
    <w:p w14:paraId="3104F49F" w14:textId="0E069145" w:rsidR="009774E8" w:rsidRPr="004801C9" w:rsidRDefault="009774E8" w:rsidP="00292C22">
      <w:pPr>
        <w:rPr>
          <w:szCs w:val="22"/>
        </w:rPr>
      </w:pPr>
    </w:p>
    <w:p w14:paraId="2CFFC46E" w14:textId="59ECA63A" w:rsidR="009774E8" w:rsidRPr="004801C9" w:rsidRDefault="009774E8" w:rsidP="00292C22">
      <w:pPr>
        <w:rPr>
          <w:rFonts w:ascii="Segoe UI" w:hAnsi="Segoe UI" w:cs="Segoe UI"/>
          <w:szCs w:val="22"/>
          <w:lang w:val="en-AU" w:eastAsia="en-GB" w:bidi="ar-SA"/>
        </w:rPr>
      </w:pPr>
      <w:r w:rsidRPr="004801C9">
        <w:rPr>
          <w:szCs w:val="22"/>
        </w:rPr>
        <w:t xml:space="preserve">Pomeranz, JL., Romo Palafox, MJ., Harris, JL. (2018). Toddler drinks, formulas, and milks: Labelling practices and policy implications. Preventative Medicine 109, 11-16. doi: </w:t>
      </w:r>
      <w:r w:rsidRPr="004801C9">
        <w:rPr>
          <w:rFonts w:ascii="Segoe UI" w:hAnsi="Segoe UI" w:cs="Segoe UI"/>
          <w:szCs w:val="22"/>
          <w:lang w:val="en-AU" w:eastAsia="en-GB" w:bidi="ar-SA"/>
        </w:rPr>
        <w:t>10.1016/j.ypmed.2018.01.009</w:t>
      </w:r>
    </w:p>
    <w:p w14:paraId="66B1F77A" w14:textId="79867DA1" w:rsidR="004801C9" w:rsidRDefault="004801C9" w:rsidP="00292C22">
      <w:pPr>
        <w:rPr>
          <w:szCs w:val="22"/>
        </w:rPr>
      </w:pPr>
    </w:p>
    <w:p w14:paraId="378B27DE" w14:textId="310DF4FB" w:rsidR="005B3A26" w:rsidRDefault="005B3A26" w:rsidP="007C5C51">
      <w:pPr>
        <w:rPr>
          <w:szCs w:val="22"/>
        </w:rPr>
      </w:pPr>
      <w:r w:rsidRPr="005B3A26">
        <w:rPr>
          <w:szCs w:val="22"/>
        </w:rPr>
        <w:t>Puccio G, Alliet P, Cajozzo C, Janssens E, Corsello G, Sprenger N, Wernimont S, Egli D, Gosoniu L, Steenhout P (2017) Effects of infant formula with human milk oligosaccharides on growth and morbidity: A Randomized Multicenter Trial. J Pediatr Gastroenterol Nutr 64:624–631. doi: 10.1097/MPG.0000000000001520</w:t>
      </w:r>
    </w:p>
    <w:p w14:paraId="3F01FB1B" w14:textId="2E5DB469" w:rsidR="005B3A26" w:rsidRDefault="005B3A26" w:rsidP="007C5C51">
      <w:pPr>
        <w:rPr>
          <w:szCs w:val="22"/>
        </w:rPr>
      </w:pPr>
    </w:p>
    <w:p w14:paraId="18E1958F" w14:textId="77777777" w:rsidR="009B64DA" w:rsidRPr="00494ADF" w:rsidRDefault="009B64DA" w:rsidP="009B64DA">
      <w:r>
        <w:t>Robertson RC</w:t>
      </w:r>
      <w:r w:rsidRPr="00494ADF">
        <w:t>, Manges</w:t>
      </w:r>
      <w:r>
        <w:t xml:space="preserve"> AR</w:t>
      </w:r>
      <w:r w:rsidRPr="00494ADF">
        <w:t>, Finlay</w:t>
      </w:r>
      <w:r>
        <w:t xml:space="preserve"> B</w:t>
      </w:r>
      <w:r w:rsidRPr="00494ADF">
        <w:t>,</w:t>
      </w:r>
      <w:r>
        <w:t xml:space="preserve"> and </w:t>
      </w:r>
      <w:r w:rsidRPr="00494ADF">
        <w:t>Prendergast</w:t>
      </w:r>
      <w:r>
        <w:t xml:space="preserve"> AJ (2019) </w:t>
      </w:r>
      <w:r w:rsidRPr="00494ADF">
        <w:t>The Human Microbiome and Child</w:t>
      </w:r>
      <w:r>
        <w:t xml:space="preserve"> </w:t>
      </w:r>
      <w:r w:rsidRPr="00494ADF">
        <w:t>Growth – First 1000 Days and Beyond Trends in Microbiology, February 2019, Vol. 27, No. 2 https://doi.org/10.1016/j.tim.2018.09.008</w:t>
      </w:r>
    </w:p>
    <w:p w14:paraId="5BDEE6BA" w14:textId="77777777" w:rsidR="009B64DA" w:rsidRDefault="009B64DA" w:rsidP="007C5C51">
      <w:pPr>
        <w:rPr>
          <w:szCs w:val="22"/>
        </w:rPr>
      </w:pPr>
    </w:p>
    <w:p w14:paraId="3D5B44F3" w14:textId="77777777" w:rsidR="005B3A26" w:rsidRPr="005B3A26" w:rsidRDefault="005B3A26" w:rsidP="005B3A26">
      <w:pPr>
        <w:rPr>
          <w:szCs w:val="22"/>
        </w:rPr>
      </w:pPr>
      <w:r w:rsidRPr="005B3A26">
        <w:rPr>
          <w:szCs w:val="22"/>
        </w:rPr>
        <w:t>Ruiz-Moyano S, Totten SM, Garrido DA, Smilowitz JT, German JB, Lebrilla CB, Mills DA (2013) Variation in consumption of human milk oligosaccharides by infant gut-associated strains of Bifidobacterium breve. Appl Environ Microbiol 79:6040–6049. doi: 10.1128/AEM.01843-13</w:t>
      </w:r>
    </w:p>
    <w:p w14:paraId="7170E216" w14:textId="77777777" w:rsidR="005B3A26" w:rsidRPr="005B3A26" w:rsidRDefault="005B3A26" w:rsidP="005B3A26">
      <w:pPr>
        <w:rPr>
          <w:szCs w:val="22"/>
        </w:rPr>
      </w:pPr>
    </w:p>
    <w:p w14:paraId="4E2C304F" w14:textId="5F097AB3" w:rsidR="00F73AFA" w:rsidRDefault="00F73AFA" w:rsidP="005B3A26">
      <w:pPr>
        <w:rPr>
          <w:szCs w:val="22"/>
        </w:rPr>
      </w:pPr>
      <w:r w:rsidRPr="00F73AFA">
        <w:rPr>
          <w:szCs w:val="22"/>
        </w:rPr>
        <w:t>Ruiz-Palacios GM, Cervantes LE, Ramos P, Chavez-Munguia B, Newburg DS (2003) Campylobacter jejuni binds intestinal H(O) antigen (Fuc alpha 1, 2Gal beta 1, 4GlcNAc), and fucosyloligosaccharides of human milk inhibit its binding and infection. J. Biol. Chem. 278:14112–14120. doi: 10.1074/jbc.M207744200</w:t>
      </w:r>
    </w:p>
    <w:p w14:paraId="1903D6B7" w14:textId="7129F1ED" w:rsidR="00F73AFA" w:rsidRDefault="00F73AFA" w:rsidP="005B3A26">
      <w:pPr>
        <w:rPr>
          <w:szCs w:val="22"/>
        </w:rPr>
      </w:pPr>
    </w:p>
    <w:p w14:paraId="7132F3A0" w14:textId="0BF99CBC" w:rsidR="005F09B7" w:rsidRDefault="005F09B7" w:rsidP="005F09B7">
      <w:pPr>
        <w:rPr>
          <w:szCs w:val="22"/>
        </w:rPr>
      </w:pPr>
      <w:r w:rsidRPr="005F09B7">
        <w:rPr>
          <w:szCs w:val="22"/>
        </w:rPr>
        <w:t xml:space="preserve">Ryan </w:t>
      </w:r>
      <w:r>
        <w:rPr>
          <w:szCs w:val="22"/>
        </w:rPr>
        <w:t xml:space="preserve">AS </w:t>
      </w:r>
      <w:r w:rsidRPr="005F09B7">
        <w:rPr>
          <w:szCs w:val="22"/>
        </w:rPr>
        <w:t>and Hay</w:t>
      </w:r>
      <w:r>
        <w:rPr>
          <w:szCs w:val="22"/>
        </w:rPr>
        <w:t xml:space="preserve"> WW</w:t>
      </w:r>
      <w:r w:rsidRPr="005F09B7">
        <w:rPr>
          <w:szCs w:val="22"/>
        </w:rPr>
        <w:t xml:space="preserve"> (2016) </w:t>
      </w:r>
      <w:r>
        <w:rPr>
          <w:szCs w:val="22"/>
        </w:rPr>
        <w:t xml:space="preserve">Challenges of infant nutrition research: a commentary. </w:t>
      </w:r>
      <w:r w:rsidRPr="005F09B7">
        <w:rPr>
          <w:szCs w:val="22"/>
        </w:rPr>
        <w:t>Nutrition Journal 15:42</w:t>
      </w:r>
      <w:r>
        <w:rPr>
          <w:szCs w:val="22"/>
        </w:rPr>
        <w:t>. doi: 1</w:t>
      </w:r>
      <w:r w:rsidRPr="005F09B7">
        <w:rPr>
          <w:szCs w:val="22"/>
        </w:rPr>
        <w:t>0.1186/s12937-016-0162-0</w:t>
      </w:r>
    </w:p>
    <w:p w14:paraId="01FE8602" w14:textId="249AC9E6" w:rsidR="004D2CF1" w:rsidRDefault="004D2CF1" w:rsidP="005F09B7">
      <w:pPr>
        <w:rPr>
          <w:szCs w:val="22"/>
        </w:rPr>
      </w:pPr>
    </w:p>
    <w:p w14:paraId="61404CE0" w14:textId="61743475" w:rsidR="004D2CF1" w:rsidRDefault="004D2CF1" w:rsidP="005F09B7">
      <w:pPr>
        <w:rPr>
          <w:szCs w:val="22"/>
        </w:rPr>
      </w:pPr>
      <w:r w:rsidRPr="004D2CF1">
        <w:rPr>
          <w:szCs w:val="22"/>
        </w:rPr>
        <w:t>Smith-Brown P, Morrison M, Krause L, Davies PSW (2016) Mothers secretor status affects development of childrens microbiota composition and function: A Pilot Study. PLoS ONE 11:e0161211. doi: 10.1371/journal.pone.0161211</w:t>
      </w:r>
    </w:p>
    <w:p w14:paraId="59BAAF28" w14:textId="77777777" w:rsidR="005F09B7" w:rsidRDefault="005F09B7" w:rsidP="005F09B7">
      <w:pPr>
        <w:rPr>
          <w:szCs w:val="22"/>
        </w:rPr>
      </w:pPr>
    </w:p>
    <w:p w14:paraId="129E4E98" w14:textId="36489188" w:rsidR="005B3A26" w:rsidRPr="005B3A26" w:rsidRDefault="005B3A26" w:rsidP="005B3A26">
      <w:pPr>
        <w:rPr>
          <w:szCs w:val="22"/>
        </w:rPr>
      </w:pPr>
      <w:r w:rsidRPr="005B3A26">
        <w:rPr>
          <w:szCs w:val="22"/>
        </w:rPr>
        <w:t>Steenhout P, Sperisen P, Martin F-P, Sprenger N, Wernimont S, Pecquet S, Berger B (2016) Term infant formula supplemented with human milk oligosaccharides (2′fucosyllactose and lacto-n-neotetraose) shifts stool microbiota and metabolic signatures closer to that of breastfed infants. FASEB J 30:275.7</w:t>
      </w:r>
    </w:p>
    <w:p w14:paraId="5E39E692" w14:textId="77777777" w:rsidR="005B3A26" w:rsidRPr="005B3A26" w:rsidRDefault="005B3A26" w:rsidP="005B3A26">
      <w:pPr>
        <w:rPr>
          <w:szCs w:val="22"/>
        </w:rPr>
      </w:pPr>
    </w:p>
    <w:p w14:paraId="378B180A" w14:textId="6E4F6892" w:rsidR="005B3A26" w:rsidRDefault="005B3A26" w:rsidP="005B3A26">
      <w:pPr>
        <w:rPr>
          <w:szCs w:val="22"/>
        </w:rPr>
      </w:pPr>
      <w:r w:rsidRPr="005B3A26">
        <w:rPr>
          <w:szCs w:val="22"/>
        </w:rPr>
        <w:t>Tannock GW, Lawley B, Munro K, Gowri Pathmanathan S, Zhou SJ, Makrides M, Gibson RA, Sullivan T, Prosser CG, Lowry D, Hodgkinson AJ (2013) Comparison of the compositions of the stool microbiotas of infants fed goat milk formula, cow milk-based formula, or breast milk. Appl Environ Microbiol 79:3040–3048. doi: 10.1128/AEM.03910-12</w:t>
      </w:r>
    </w:p>
    <w:p w14:paraId="26C56D0D" w14:textId="77777777" w:rsidR="005B3A26" w:rsidRDefault="005B3A26" w:rsidP="007C5C51">
      <w:pPr>
        <w:rPr>
          <w:szCs w:val="22"/>
        </w:rPr>
      </w:pPr>
    </w:p>
    <w:p w14:paraId="2D73BEFD" w14:textId="747BED87" w:rsidR="00F73AFA" w:rsidRDefault="00F73AFA" w:rsidP="007C5C51">
      <w:pPr>
        <w:rPr>
          <w:szCs w:val="22"/>
        </w:rPr>
      </w:pPr>
      <w:r w:rsidRPr="00F73AFA">
        <w:rPr>
          <w:szCs w:val="22"/>
        </w:rPr>
        <w:t>Tarrant M, Kwok M-K, Lam T-H, Leung GM, Schooling CM (2010) Breast-feeding and childhood hospitalizations for infections. Epidemiology 21:847–854. doi: 10.1097/EDE.0b013e3181f55803</w:t>
      </w:r>
    </w:p>
    <w:p w14:paraId="7E0D85F3" w14:textId="77777777" w:rsidR="00F73AFA" w:rsidRDefault="00F73AFA" w:rsidP="007C5C51">
      <w:pPr>
        <w:rPr>
          <w:szCs w:val="22"/>
        </w:rPr>
      </w:pPr>
    </w:p>
    <w:p w14:paraId="2DCFDAEA" w14:textId="567FC09F" w:rsidR="007C5C51" w:rsidRPr="004801C9" w:rsidRDefault="007C5C51" w:rsidP="007C5C51">
      <w:pPr>
        <w:rPr>
          <w:szCs w:val="22"/>
        </w:rPr>
      </w:pPr>
      <w:r>
        <w:rPr>
          <w:szCs w:val="22"/>
        </w:rPr>
        <w:t xml:space="preserve">UK </w:t>
      </w:r>
      <w:r w:rsidRPr="004801C9">
        <w:rPr>
          <w:szCs w:val="22"/>
        </w:rPr>
        <w:t xml:space="preserve">Food Standards Agency (2010). Report of the Independent Review Panel conducting the independent review of the controls on Infant Formula and Follow-on Formula. Available at: </w:t>
      </w:r>
      <w:r w:rsidRPr="004801C9">
        <w:rPr>
          <w:rFonts w:ascii="Segoe UI" w:hAnsi="Segoe UI" w:cs="Segoe UI"/>
          <w:color w:val="0000FF"/>
          <w:szCs w:val="22"/>
          <w:u w:val="single"/>
        </w:rPr>
        <w:t>www.food.gov.uk/multimedia/pdfs/consultation/draftreportifff.pdf</w:t>
      </w:r>
    </w:p>
    <w:p w14:paraId="1A0DFCA1" w14:textId="77777777" w:rsidR="007C5C51" w:rsidRDefault="007C5C51" w:rsidP="007C5C51">
      <w:pPr>
        <w:rPr>
          <w:szCs w:val="22"/>
        </w:rPr>
      </w:pPr>
    </w:p>
    <w:p w14:paraId="02359EC7" w14:textId="5B1A347C" w:rsidR="004801C9" w:rsidRDefault="004801C9" w:rsidP="004801C9">
      <w:pPr>
        <w:rPr>
          <w:szCs w:val="22"/>
        </w:rPr>
      </w:pPr>
      <w:r w:rsidRPr="004801C9">
        <w:rPr>
          <w:szCs w:val="22"/>
        </w:rPr>
        <w:t xml:space="preserve">US Food and Drug Administration 2016 Guidance for Industry: Labelling of Infant formula. Office of Nutrition and Food Labeling. </w:t>
      </w:r>
      <w:hyperlink r:id="rId40" w:history="1">
        <w:r w:rsidR="005B3A26" w:rsidRPr="00CC0743">
          <w:rPr>
            <w:rStyle w:val="Hyperlink"/>
            <w:szCs w:val="22"/>
          </w:rPr>
          <w:t>https://www.fda.gov/regulatory-information/search-fda-guidance-documents/guidance-industry-labeling-infant-formula</w:t>
        </w:r>
      </w:hyperlink>
    </w:p>
    <w:p w14:paraId="6AAD500F" w14:textId="7B1852FE" w:rsidR="005B3A26" w:rsidRDefault="005B3A26" w:rsidP="004801C9">
      <w:pPr>
        <w:rPr>
          <w:szCs w:val="22"/>
        </w:rPr>
      </w:pPr>
    </w:p>
    <w:p w14:paraId="6149E573" w14:textId="77777777" w:rsidR="005B3A26" w:rsidRPr="005B3A26" w:rsidRDefault="005B3A26" w:rsidP="005B3A26">
      <w:pPr>
        <w:rPr>
          <w:szCs w:val="22"/>
        </w:rPr>
      </w:pPr>
      <w:r w:rsidRPr="005B3A26">
        <w:rPr>
          <w:szCs w:val="22"/>
        </w:rPr>
        <w:t>Yu Z-T, Chen C, Kling DE, Liu B, McCoy JM, Merighi M, Heidtman M, Newburg DS (2013a) The principal fucosylated oligosaccharides of human milk exhibit prebiotic properties on cultured infant microbiota. Glycobiology 23:169–177. doi: 10.1093/glycob/cws138</w:t>
      </w:r>
    </w:p>
    <w:p w14:paraId="6AF46389" w14:textId="77777777" w:rsidR="005B3A26" w:rsidRPr="005B3A26" w:rsidRDefault="005B3A26" w:rsidP="005B3A26">
      <w:pPr>
        <w:rPr>
          <w:szCs w:val="22"/>
        </w:rPr>
      </w:pPr>
    </w:p>
    <w:p w14:paraId="6F34CA5D" w14:textId="792C43EA" w:rsidR="005B3A26" w:rsidRDefault="005B3A26" w:rsidP="009B64DA">
      <w:pPr>
        <w:keepNext/>
        <w:keepLines/>
        <w:rPr>
          <w:szCs w:val="22"/>
        </w:rPr>
      </w:pPr>
      <w:r w:rsidRPr="005B3A26">
        <w:rPr>
          <w:szCs w:val="22"/>
        </w:rPr>
        <w:t>Yu Z-T, Chen C, Newburg DS (2013b) Utilization of major fucosylated and sialylated human milk oligosaccharides by isolated human gut microbes. Glycobiology 23:1281–1292. doi: 10.1093/glycob/cwt065</w:t>
      </w:r>
    </w:p>
    <w:p w14:paraId="3236667D" w14:textId="318DD96E" w:rsidR="00F73AFA" w:rsidRDefault="00F73AFA" w:rsidP="005B3A26">
      <w:pPr>
        <w:rPr>
          <w:szCs w:val="22"/>
        </w:rPr>
      </w:pPr>
    </w:p>
    <w:p w14:paraId="29DB2110" w14:textId="20FF5F7C" w:rsidR="00F73AFA" w:rsidRPr="004801C9" w:rsidRDefault="00F73AFA" w:rsidP="005B3A26">
      <w:pPr>
        <w:rPr>
          <w:szCs w:val="22"/>
        </w:rPr>
      </w:pPr>
      <w:r w:rsidRPr="00F73AFA">
        <w:rPr>
          <w:szCs w:val="22"/>
        </w:rPr>
        <w:t>Yu Z-T, Nanthakumar NN, Newburg DS (2016) The Human Milk Oligosaccharide 2'-Fucosyllactose Quenches Campylobacter jejuni-Induced Inflammation in Human Epithelial Cells HEp-2 and HT-29 and in Mouse Intestinal Mucosa. J Nutr 146:1980–1990. doi: 10.3945/jn.116.230706</w:t>
      </w:r>
    </w:p>
    <w:p w14:paraId="7092D900" w14:textId="0B905137" w:rsidR="00F73AFA" w:rsidRPr="00F73AFA" w:rsidRDefault="00F73AFA" w:rsidP="00F73AFA">
      <w:pPr>
        <w:rPr>
          <w:sz w:val="20"/>
          <w:szCs w:val="20"/>
        </w:rPr>
      </w:pPr>
    </w:p>
    <w:p w14:paraId="2369C5A4" w14:textId="77777777" w:rsidR="00F73AFA" w:rsidRPr="00F73AFA" w:rsidRDefault="00F73AFA" w:rsidP="00F73AFA">
      <w:pPr>
        <w:rPr>
          <w:sz w:val="20"/>
          <w:szCs w:val="20"/>
        </w:rPr>
      </w:pPr>
    </w:p>
    <w:p w14:paraId="30BF767B" w14:textId="7D35EA8C" w:rsidR="005B3A26" w:rsidRPr="005B3A26" w:rsidRDefault="005B3A26" w:rsidP="005B3A26">
      <w:pPr>
        <w:rPr>
          <w:sz w:val="20"/>
          <w:szCs w:val="20"/>
        </w:rPr>
      </w:pPr>
    </w:p>
    <w:p w14:paraId="51C2B063" w14:textId="54B1F436" w:rsidR="005B3A26" w:rsidRPr="00A9167D" w:rsidRDefault="005B3A26" w:rsidP="005B3A26">
      <w:pPr>
        <w:rPr>
          <w:sz w:val="20"/>
          <w:szCs w:val="20"/>
        </w:rPr>
      </w:pPr>
    </w:p>
    <w:bookmarkEnd w:id="160"/>
    <w:bookmarkEnd w:id="161"/>
    <w:bookmarkEnd w:id="162"/>
    <w:bookmarkEnd w:id="163"/>
    <w:bookmarkEnd w:id="164"/>
    <w:p w14:paraId="721D6342" w14:textId="4476D191" w:rsidR="00456BD5" w:rsidRPr="00456BD5" w:rsidRDefault="003C4969" w:rsidP="00456BD5">
      <w:pPr>
        <w:pStyle w:val="Heading2"/>
        <w:ind w:left="0" w:firstLine="0"/>
      </w:pPr>
      <w:r w:rsidRPr="00932F14">
        <w:br w:type="page"/>
      </w:r>
      <w:bookmarkStart w:id="165" w:name="_Toc29883131"/>
      <w:bookmarkStart w:id="166" w:name="_Toc41906818"/>
      <w:bookmarkStart w:id="167" w:name="_Toc41907565"/>
      <w:bookmarkStart w:id="168" w:name="_Toc120358596"/>
      <w:bookmarkStart w:id="169" w:name="_Toc175381458"/>
      <w:bookmarkStart w:id="170" w:name="_Toc11735644"/>
      <w:bookmarkStart w:id="171" w:name="_Toc22303687"/>
      <w:bookmarkStart w:id="172" w:name="_Toc22650350"/>
      <w:r w:rsidRPr="00932F14">
        <w:t xml:space="preserve">Attachment </w:t>
      </w:r>
      <w:bookmarkEnd w:id="165"/>
      <w:bookmarkEnd w:id="166"/>
      <w:bookmarkEnd w:id="167"/>
      <w:bookmarkEnd w:id="168"/>
      <w:bookmarkEnd w:id="169"/>
      <w:r w:rsidR="00456B54">
        <w:t>A</w:t>
      </w:r>
      <w:bookmarkStart w:id="173" w:name="_Toc120358597"/>
      <w:bookmarkStart w:id="174" w:name="_Toc175381459"/>
      <w:bookmarkEnd w:id="170"/>
      <w:r w:rsidR="00755F02">
        <w:t xml:space="preserve"> –</w:t>
      </w:r>
      <w:bookmarkStart w:id="175" w:name="_Toc120358598"/>
      <w:bookmarkStart w:id="176" w:name="_Toc175381460"/>
      <w:bookmarkEnd w:id="173"/>
      <w:bookmarkEnd w:id="174"/>
      <w:r w:rsidR="005E06C0">
        <w:t xml:space="preserve"> </w:t>
      </w:r>
      <w:r w:rsidR="00456BD5">
        <w:t>Approved</w:t>
      </w:r>
      <w:r w:rsidR="00456BD5" w:rsidRPr="00932F14">
        <w:t xml:space="preserve"> </w:t>
      </w:r>
      <w:r w:rsidR="00456BD5">
        <w:t xml:space="preserve">draft </w:t>
      </w:r>
      <w:r w:rsidR="00456BD5" w:rsidRPr="00932F14">
        <w:t>variation</w:t>
      </w:r>
      <w:r w:rsidR="00456BD5" w:rsidRPr="004801C9">
        <w:t xml:space="preserve">s </w:t>
      </w:r>
      <w:r w:rsidR="00456BD5" w:rsidRPr="00932F14">
        <w:t>to the</w:t>
      </w:r>
      <w:r w:rsidR="00456BD5" w:rsidRPr="00755F02">
        <w:t xml:space="preserve"> </w:t>
      </w:r>
      <w:r w:rsidR="00456BD5" w:rsidRPr="00795D86">
        <w:rPr>
          <w:i/>
        </w:rPr>
        <w:t>Australia New Zealand Food Standards Code</w:t>
      </w:r>
      <w:bookmarkEnd w:id="171"/>
      <w:bookmarkEnd w:id="172"/>
      <w:r w:rsidR="00456BD5">
        <w:rPr>
          <w:i/>
        </w:rPr>
        <w:t xml:space="preserve"> </w:t>
      </w:r>
    </w:p>
    <w:p w14:paraId="5A44E440" w14:textId="77777777" w:rsidR="004801C9" w:rsidRDefault="004801C9" w:rsidP="004801C9">
      <w:pPr>
        <w:rPr>
          <w:lang w:bidi="ar-SA"/>
        </w:rPr>
      </w:pPr>
    </w:p>
    <w:p w14:paraId="1FF560D1" w14:textId="2D49519E" w:rsidR="004801C9" w:rsidRDefault="004801C9" w:rsidP="004801C9">
      <w:pPr>
        <w:rPr>
          <w:noProof/>
          <w:sz w:val="20"/>
          <w:lang w:val="en-AU" w:eastAsia="en-AU"/>
        </w:rPr>
      </w:pPr>
      <w:r>
        <w:rPr>
          <w:noProof/>
          <w:sz w:val="20"/>
          <w:lang w:eastAsia="en-GB" w:bidi="ar-SA"/>
        </w:rPr>
        <w:drawing>
          <wp:inline distT="0" distB="0" distL="0" distR="0" wp14:anchorId="5E616AA3" wp14:editId="7D61D585">
            <wp:extent cx="2656840" cy="440055"/>
            <wp:effectExtent l="0" t="0" r="0"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56840" cy="440055"/>
                    </a:xfrm>
                    <a:prstGeom prst="rect">
                      <a:avLst/>
                    </a:prstGeom>
                    <a:noFill/>
                    <a:ln>
                      <a:noFill/>
                    </a:ln>
                  </pic:spPr>
                </pic:pic>
              </a:graphicData>
            </a:graphic>
          </wp:inline>
        </w:drawing>
      </w:r>
    </w:p>
    <w:p w14:paraId="238FE52E" w14:textId="77777777" w:rsidR="004801C9" w:rsidRDefault="004801C9" w:rsidP="004801C9">
      <w:pPr>
        <w:pBdr>
          <w:bottom w:val="single" w:sz="4" w:space="1" w:color="auto"/>
        </w:pBdr>
        <w:rPr>
          <w:b/>
          <w:bCs/>
        </w:rPr>
      </w:pPr>
    </w:p>
    <w:p w14:paraId="6257D27A" w14:textId="77777777" w:rsidR="004801C9" w:rsidRDefault="004801C9" w:rsidP="004801C9">
      <w:pPr>
        <w:pBdr>
          <w:bottom w:val="single" w:sz="4" w:space="1" w:color="auto"/>
        </w:pBdr>
        <w:rPr>
          <w:b/>
          <w:sz w:val="20"/>
        </w:rPr>
      </w:pPr>
      <w:r>
        <w:rPr>
          <w:b/>
          <w:sz w:val="20"/>
        </w:rPr>
        <w:t>Food Standards (Application A1155 – 2</w:t>
      </w:r>
      <w:r>
        <w:rPr>
          <w:rFonts w:cs="Arial"/>
          <w:b/>
        </w:rPr>
        <w:t>′</w:t>
      </w:r>
      <w:r>
        <w:rPr>
          <w:b/>
          <w:sz w:val="20"/>
        </w:rPr>
        <w:t>-FL and LNnT in infant formula and other products) Variation</w:t>
      </w:r>
    </w:p>
    <w:p w14:paraId="5E327812" w14:textId="77777777" w:rsidR="004801C9" w:rsidRDefault="004801C9" w:rsidP="004801C9">
      <w:pPr>
        <w:pBdr>
          <w:bottom w:val="single" w:sz="4" w:space="1" w:color="auto"/>
        </w:pBdr>
        <w:rPr>
          <w:b/>
          <w:sz w:val="20"/>
        </w:rPr>
      </w:pPr>
    </w:p>
    <w:p w14:paraId="51353E01" w14:textId="77777777" w:rsidR="004801C9" w:rsidRDefault="004801C9" w:rsidP="004801C9">
      <w:pPr>
        <w:rPr>
          <w:sz w:val="20"/>
        </w:rPr>
      </w:pPr>
    </w:p>
    <w:p w14:paraId="029882AF" w14:textId="77777777" w:rsidR="004801C9" w:rsidRDefault="004801C9" w:rsidP="004801C9">
      <w:pPr>
        <w:rPr>
          <w:sz w:val="20"/>
        </w:rPr>
      </w:pPr>
      <w:r>
        <w:rPr>
          <w:sz w:val="20"/>
        </w:rPr>
        <w:t xml:space="preserve">The Board of Food Standards Australia New Zealand gives notice of the making of this variation under section 92 of the </w:t>
      </w:r>
      <w:r>
        <w:rPr>
          <w:i/>
          <w:sz w:val="20"/>
        </w:rPr>
        <w:t>Food Standards Australia New Zealand Act 1991</w:t>
      </w:r>
      <w:r>
        <w:rPr>
          <w:sz w:val="20"/>
        </w:rPr>
        <w:t>.  The variation commences on the date specified in clause 3 of this variation.</w:t>
      </w:r>
    </w:p>
    <w:p w14:paraId="2FDA30A4" w14:textId="77777777" w:rsidR="004801C9" w:rsidRDefault="004801C9" w:rsidP="004801C9">
      <w:pPr>
        <w:rPr>
          <w:sz w:val="20"/>
        </w:rPr>
      </w:pPr>
    </w:p>
    <w:p w14:paraId="6088DED7" w14:textId="77777777" w:rsidR="004801C9" w:rsidRDefault="004801C9" w:rsidP="004801C9">
      <w:pPr>
        <w:rPr>
          <w:sz w:val="20"/>
        </w:rPr>
      </w:pPr>
      <w:r>
        <w:rPr>
          <w:sz w:val="20"/>
        </w:rPr>
        <w:t>Dated [To be completed by Delegate]</w:t>
      </w:r>
    </w:p>
    <w:p w14:paraId="7DD9D816" w14:textId="77777777" w:rsidR="004801C9" w:rsidRDefault="004801C9" w:rsidP="004801C9">
      <w:pPr>
        <w:rPr>
          <w:sz w:val="20"/>
        </w:rPr>
      </w:pPr>
    </w:p>
    <w:p w14:paraId="2943B91B" w14:textId="77777777" w:rsidR="004801C9" w:rsidRDefault="004801C9" w:rsidP="004801C9">
      <w:pPr>
        <w:rPr>
          <w:sz w:val="20"/>
        </w:rPr>
      </w:pPr>
    </w:p>
    <w:p w14:paraId="2621170E" w14:textId="77777777" w:rsidR="004801C9" w:rsidRDefault="004801C9" w:rsidP="004801C9">
      <w:pPr>
        <w:rPr>
          <w:sz w:val="20"/>
        </w:rPr>
      </w:pPr>
    </w:p>
    <w:p w14:paraId="5E7E2A2F" w14:textId="77777777" w:rsidR="004801C9" w:rsidRDefault="004801C9" w:rsidP="004801C9">
      <w:pPr>
        <w:rPr>
          <w:sz w:val="20"/>
        </w:rPr>
      </w:pPr>
    </w:p>
    <w:p w14:paraId="29252C76" w14:textId="77777777" w:rsidR="004801C9" w:rsidRDefault="004801C9" w:rsidP="004801C9">
      <w:pPr>
        <w:rPr>
          <w:sz w:val="20"/>
        </w:rPr>
      </w:pPr>
    </w:p>
    <w:p w14:paraId="1227671D" w14:textId="77777777" w:rsidR="004801C9" w:rsidRDefault="004801C9" w:rsidP="004801C9">
      <w:pPr>
        <w:rPr>
          <w:sz w:val="20"/>
        </w:rPr>
      </w:pPr>
      <w:r>
        <w:rPr>
          <w:sz w:val="20"/>
        </w:rPr>
        <w:t>[Insert name of Delegate]</w:t>
      </w:r>
    </w:p>
    <w:p w14:paraId="0CAB7883" w14:textId="77777777" w:rsidR="004801C9" w:rsidRDefault="004801C9" w:rsidP="004801C9">
      <w:pPr>
        <w:rPr>
          <w:sz w:val="20"/>
        </w:rPr>
      </w:pPr>
      <w:r>
        <w:rPr>
          <w:sz w:val="20"/>
        </w:rPr>
        <w:t>Delegate of the Board of Food Standards Australia New Zealand</w:t>
      </w:r>
    </w:p>
    <w:p w14:paraId="293AFD2D" w14:textId="77777777" w:rsidR="004801C9" w:rsidRDefault="004801C9" w:rsidP="004801C9">
      <w:pPr>
        <w:rPr>
          <w:sz w:val="20"/>
        </w:rPr>
      </w:pPr>
    </w:p>
    <w:p w14:paraId="570F7B0B" w14:textId="77777777" w:rsidR="004801C9" w:rsidRDefault="004801C9" w:rsidP="004801C9">
      <w:pPr>
        <w:rPr>
          <w:sz w:val="20"/>
        </w:rPr>
      </w:pPr>
    </w:p>
    <w:p w14:paraId="07F02AB8" w14:textId="77777777" w:rsidR="004801C9" w:rsidRDefault="004801C9" w:rsidP="004801C9">
      <w:pPr>
        <w:rPr>
          <w:sz w:val="20"/>
        </w:rPr>
      </w:pPr>
    </w:p>
    <w:p w14:paraId="23A38087" w14:textId="77777777" w:rsidR="004801C9" w:rsidRDefault="004801C9" w:rsidP="004801C9">
      <w:pPr>
        <w:rPr>
          <w:sz w:val="20"/>
        </w:rPr>
      </w:pPr>
    </w:p>
    <w:p w14:paraId="528690E9" w14:textId="77777777" w:rsidR="004801C9" w:rsidRDefault="004801C9" w:rsidP="004801C9">
      <w:pPr>
        <w:rPr>
          <w:sz w:val="20"/>
        </w:rPr>
      </w:pPr>
    </w:p>
    <w:p w14:paraId="0F721AA2" w14:textId="77777777" w:rsidR="004801C9" w:rsidRDefault="004801C9" w:rsidP="004801C9">
      <w:pPr>
        <w:pBdr>
          <w:top w:val="single" w:sz="4" w:space="1" w:color="auto"/>
          <w:left w:val="single" w:sz="4" w:space="4" w:color="auto"/>
          <w:bottom w:val="single" w:sz="4" w:space="1" w:color="auto"/>
          <w:right w:val="single" w:sz="4" w:space="4" w:color="auto"/>
        </w:pBdr>
        <w:rPr>
          <w:b/>
          <w:sz w:val="20"/>
          <w:lang w:val="en-AU"/>
        </w:rPr>
      </w:pPr>
      <w:r>
        <w:rPr>
          <w:b/>
          <w:sz w:val="20"/>
          <w:lang w:val="en-AU"/>
        </w:rPr>
        <w:t>Note:</w:t>
      </w:r>
    </w:p>
    <w:p w14:paraId="2774601E" w14:textId="77777777" w:rsidR="004801C9" w:rsidRDefault="004801C9" w:rsidP="004801C9">
      <w:pPr>
        <w:pBdr>
          <w:top w:val="single" w:sz="4" w:space="1" w:color="auto"/>
          <w:left w:val="single" w:sz="4" w:space="4" w:color="auto"/>
          <w:bottom w:val="single" w:sz="4" w:space="1" w:color="auto"/>
          <w:right w:val="single" w:sz="4" w:space="4" w:color="auto"/>
        </w:pBdr>
        <w:rPr>
          <w:sz w:val="20"/>
          <w:lang w:val="en-AU"/>
        </w:rPr>
      </w:pPr>
    </w:p>
    <w:p w14:paraId="36981945" w14:textId="77777777" w:rsidR="004801C9" w:rsidRDefault="004801C9" w:rsidP="004801C9">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variation will be published in the Commonwealth of Australia Gazette No. FSC </w:t>
      </w:r>
      <w:r>
        <w:rPr>
          <w:color w:val="FF0000"/>
          <w:sz w:val="20"/>
          <w:lang w:val="en-AU"/>
        </w:rPr>
        <w:t>XX on XX Month 20XX</w:t>
      </w:r>
      <w:r>
        <w:rPr>
          <w:sz w:val="20"/>
          <w:lang w:val="en-AU"/>
        </w:rPr>
        <w:t xml:space="preserve">. This means that this date is the gazettal date for the purposes of clause 3 of the variation. </w:t>
      </w:r>
    </w:p>
    <w:p w14:paraId="040E32A7" w14:textId="77777777" w:rsidR="004801C9" w:rsidRDefault="004801C9" w:rsidP="004801C9">
      <w:pPr>
        <w:rPr>
          <w:sz w:val="20"/>
        </w:rPr>
      </w:pPr>
    </w:p>
    <w:p w14:paraId="2FB9E831" w14:textId="77777777" w:rsidR="004801C9" w:rsidRDefault="004801C9" w:rsidP="004801C9">
      <w:pPr>
        <w:widowControl/>
        <w:rPr>
          <w:sz w:val="20"/>
        </w:rPr>
      </w:pPr>
      <w:r>
        <w:rPr>
          <w:sz w:val="20"/>
        </w:rPr>
        <w:br w:type="page"/>
      </w:r>
    </w:p>
    <w:p w14:paraId="0A0D6A22" w14:textId="77777777" w:rsidR="004801C9" w:rsidRDefault="004801C9" w:rsidP="004801C9">
      <w:pPr>
        <w:pStyle w:val="FSCDraftingitemheading"/>
      </w:pPr>
      <w:r>
        <w:t>1</w:t>
      </w:r>
      <w:r>
        <w:tab/>
        <w:t>Name</w:t>
      </w:r>
    </w:p>
    <w:p w14:paraId="3FAD5505" w14:textId="77777777" w:rsidR="004801C9" w:rsidRDefault="004801C9" w:rsidP="004801C9">
      <w:pPr>
        <w:pStyle w:val="FSCDraftingitem"/>
      </w:pPr>
      <w:r>
        <w:t xml:space="preserve">This instrument is the </w:t>
      </w:r>
      <w:r>
        <w:rPr>
          <w:i/>
        </w:rPr>
        <w:t>Food Standards (Application A1155 – 2</w:t>
      </w:r>
      <w:r>
        <w:rPr>
          <w:rFonts w:cs="Arial"/>
          <w:i/>
        </w:rPr>
        <w:t>′</w:t>
      </w:r>
      <w:r>
        <w:rPr>
          <w:i/>
        </w:rPr>
        <w:t>-FL and LNnT in infant formula and other products) Variation</w:t>
      </w:r>
      <w:r>
        <w:t>.</w:t>
      </w:r>
    </w:p>
    <w:p w14:paraId="77A38345" w14:textId="77777777" w:rsidR="004801C9" w:rsidRDefault="004801C9" w:rsidP="004801C9">
      <w:pPr>
        <w:pStyle w:val="FSCDraftingitemheading"/>
      </w:pPr>
      <w:r>
        <w:t>2</w:t>
      </w:r>
      <w:r>
        <w:tab/>
        <w:t xml:space="preserve">Variation to standards in the </w:t>
      </w:r>
      <w:r>
        <w:rPr>
          <w:i/>
        </w:rPr>
        <w:t>Australia New Zealand Food Standards Code</w:t>
      </w:r>
    </w:p>
    <w:p w14:paraId="56EFE1D4" w14:textId="77777777" w:rsidR="004801C9" w:rsidRDefault="004801C9" w:rsidP="004801C9">
      <w:pPr>
        <w:pStyle w:val="FSCDraftingitem"/>
      </w:pPr>
      <w:r>
        <w:t xml:space="preserve">The Schedule varies Standards in the </w:t>
      </w:r>
      <w:r>
        <w:rPr>
          <w:i/>
        </w:rPr>
        <w:t>Australia New Zealand Food Standards Code</w:t>
      </w:r>
      <w:r>
        <w:t>.</w:t>
      </w:r>
    </w:p>
    <w:p w14:paraId="4BB77448" w14:textId="77777777" w:rsidR="004801C9" w:rsidRDefault="004801C9" w:rsidP="004801C9">
      <w:pPr>
        <w:pStyle w:val="FSCDraftingitemheading"/>
      </w:pPr>
      <w:r>
        <w:t>3</w:t>
      </w:r>
      <w:r>
        <w:tab/>
        <w:t>Commencement</w:t>
      </w:r>
    </w:p>
    <w:p w14:paraId="57F4C812" w14:textId="77777777" w:rsidR="004801C9" w:rsidRDefault="004801C9" w:rsidP="004801C9">
      <w:pPr>
        <w:pStyle w:val="FSCDraftingitem"/>
      </w:pPr>
      <w:r>
        <w:t>The variation commences on the date of gazettal.</w:t>
      </w:r>
    </w:p>
    <w:p w14:paraId="64AC332D" w14:textId="77777777" w:rsidR="004801C9" w:rsidRDefault="004801C9" w:rsidP="004801C9">
      <w:pPr>
        <w:jc w:val="center"/>
        <w:rPr>
          <w:b/>
          <w:sz w:val="20"/>
        </w:rPr>
      </w:pPr>
      <w:r>
        <w:rPr>
          <w:b/>
          <w:sz w:val="20"/>
        </w:rPr>
        <w:t>Schedule</w:t>
      </w:r>
    </w:p>
    <w:p w14:paraId="3D3440FB" w14:textId="77777777" w:rsidR="004801C9" w:rsidRDefault="004801C9" w:rsidP="004801C9">
      <w:pPr>
        <w:pStyle w:val="FSCDraftingitem"/>
      </w:pPr>
      <w:r>
        <w:rPr>
          <w:b/>
          <w:lang w:bidi="en-US"/>
        </w:rPr>
        <w:t>[1]</w:t>
      </w:r>
      <w:r>
        <w:rPr>
          <w:b/>
          <w:lang w:bidi="en-US"/>
        </w:rPr>
        <w:tab/>
        <w:t xml:space="preserve">Standard 2.9.1 </w:t>
      </w:r>
      <w:r>
        <w:rPr>
          <w:lang w:bidi="en-US"/>
        </w:rPr>
        <w:t>is varied by</w:t>
      </w:r>
    </w:p>
    <w:p w14:paraId="18ADABC9" w14:textId="77777777" w:rsidR="004801C9" w:rsidRDefault="004801C9" w:rsidP="004801C9">
      <w:pPr>
        <w:pStyle w:val="FSCDraftingitem"/>
      </w:pPr>
      <w:r>
        <w:rPr>
          <w:lang w:bidi="en-US"/>
        </w:rPr>
        <w:t xml:space="preserve"> [1.1]</w:t>
      </w:r>
      <w:r>
        <w:rPr>
          <w:lang w:bidi="en-US"/>
        </w:rPr>
        <w:tab/>
        <w:t xml:space="preserve">omitting section </w:t>
      </w:r>
      <w:r>
        <w:t>2.9.1—7, substituting</w:t>
      </w:r>
    </w:p>
    <w:p w14:paraId="59A40640" w14:textId="77777777" w:rsidR="004801C9" w:rsidRDefault="004801C9" w:rsidP="004801C9">
      <w:pPr>
        <w:pStyle w:val="FSCh5Section"/>
      </w:pPr>
      <w:bookmarkStart w:id="177" w:name="_Toc400032269"/>
      <w:r>
        <w:t>2.9.1—7</w:t>
      </w:r>
      <w:r>
        <w:tab/>
        <w:t>Restriction on addition to infant formula product of inulin-type fructans and galacto</w:t>
      </w:r>
      <w:r>
        <w:noBreakHyphen/>
        <w:t>oligosaccharides</w:t>
      </w:r>
      <w:bookmarkEnd w:id="177"/>
      <w:r>
        <w:t xml:space="preserve"> </w:t>
      </w:r>
    </w:p>
    <w:p w14:paraId="0490A2FD" w14:textId="77777777" w:rsidR="004801C9" w:rsidRDefault="004801C9" w:rsidP="004801C9">
      <w:pPr>
        <w:pStyle w:val="FSCtMain"/>
      </w:pPr>
      <w:r>
        <w:tab/>
        <w:t>(1)</w:t>
      </w:r>
      <w:r>
        <w:tab/>
        <w:t>If an inulin-type fructan or a galacto-oligosaccharide is added to an infant formula product, the product must contain (taking into account both the naturally-occurring and added substances) no more than:</w:t>
      </w:r>
    </w:p>
    <w:p w14:paraId="3BC9804E" w14:textId="77777777" w:rsidR="004801C9" w:rsidRDefault="004801C9" w:rsidP="004801C9">
      <w:pPr>
        <w:pStyle w:val="FSCtPara"/>
      </w:pPr>
      <w:r>
        <w:tab/>
        <w:t>(a)</w:t>
      </w:r>
      <w:r>
        <w:tab/>
        <w:t>if only *inulin-type fructans are added—110 mg/100 kJ of inulin-type fructans; or</w:t>
      </w:r>
    </w:p>
    <w:p w14:paraId="3C4BF33F" w14:textId="77777777" w:rsidR="004801C9" w:rsidRDefault="004801C9" w:rsidP="004801C9">
      <w:pPr>
        <w:pStyle w:val="FSCtPara"/>
      </w:pPr>
      <w:r>
        <w:tab/>
        <w:t>(b)</w:t>
      </w:r>
      <w:r>
        <w:tab/>
        <w:t>if only *galacto-oligosaccharides are added—290 mg/100 kJ of galacto-oligosaccharides; or</w:t>
      </w:r>
    </w:p>
    <w:p w14:paraId="48BF9998" w14:textId="77777777" w:rsidR="004801C9" w:rsidRDefault="004801C9" w:rsidP="004801C9">
      <w:pPr>
        <w:pStyle w:val="FSCtPara"/>
      </w:pPr>
      <w:r>
        <w:tab/>
        <w:t>(c)</w:t>
      </w:r>
      <w:r>
        <w:tab/>
        <w:t>if both inulin-type fructans and galacto-oligosaccharides are added:</w:t>
      </w:r>
    </w:p>
    <w:p w14:paraId="797430A9" w14:textId="77777777" w:rsidR="004801C9" w:rsidRDefault="004801C9" w:rsidP="004801C9">
      <w:pPr>
        <w:pStyle w:val="FSCtSubpara"/>
      </w:pPr>
      <w:r>
        <w:tab/>
        <w:t>(i)</w:t>
      </w:r>
      <w:r>
        <w:tab/>
        <w:t>no more than 110 mg/100 kJ of inulin-type fructans; and</w:t>
      </w:r>
    </w:p>
    <w:p w14:paraId="797BB86E" w14:textId="77777777" w:rsidR="004801C9" w:rsidRDefault="004801C9" w:rsidP="004801C9">
      <w:pPr>
        <w:pStyle w:val="FSCtSubpara"/>
      </w:pPr>
      <w:r>
        <w:tab/>
        <w:t>(ii)</w:t>
      </w:r>
      <w:r>
        <w:tab/>
        <w:t>no more than 290 mg/100 kJ of combined inulin-type fructans and galacto-oligosaccharides.</w:t>
      </w:r>
    </w:p>
    <w:p w14:paraId="1A5F49AD" w14:textId="77777777" w:rsidR="004801C9" w:rsidRDefault="004801C9" w:rsidP="004801C9">
      <w:pPr>
        <w:pStyle w:val="FSCDraftingitem"/>
        <w:tabs>
          <w:tab w:val="clear" w:pos="851"/>
          <w:tab w:val="left" w:pos="1134"/>
        </w:tabs>
        <w:ind w:left="1701" w:hanging="1701"/>
      </w:pPr>
      <w:r>
        <w:tab/>
        <w:t>(2)</w:t>
      </w:r>
      <w:r>
        <w:tab/>
        <w:t>An infant formula product to which an inulin-type fructan or a galacto</w:t>
      </w:r>
      <w:r>
        <w:noBreakHyphen/>
        <w:t>oligosaccharide is added must not contain any of the following added substances:</w:t>
      </w:r>
    </w:p>
    <w:p w14:paraId="549A331C" w14:textId="77777777" w:rsidR="004801C9" w:rsidRDefault="004801C9" w:rsidP="004801C9">
      <w:pPr>
        <w:pStyle w:val="FSCDraftingitem"/>
        <w:tabs>
          <w:tab w:val="clear" w:pos="851"/>
          <w:tab w:val="left" w:pos="1701"/>
        </w:tabs>
        <w:ind w:left="2268" w:hanging="2268"/>
      </w:pPr>
      <w:r>
        <w:rPr>
          <w:i/>
        </w:rPr>
        <w:tab/>
      </w:r>
      <w:r>
        <w:t>(a)</w:t>
      </w:r>
      <w:r>
        <w:tab/>
        <w:t>2</w:t>
      </w:r>
      <w:r>
        <w:rPr>
          <w:rFonts w:cs="Arial"/>
        </w:rPr>
        <w:t>′</w:t>
      </w:r>
      <w:r>
        <w:t xml:space="preserve">-O-fucosyllactose; or </w:t>
      </w:r>
    </w:p>
    <w:p w14:paraId="3AA79B07" w14:textId="77777777" w:rsidR="004801C9" w:rsidRDefault="004801C9" w:rsidP="004801C9">
      <w:pPr>
        <w:pStyle w:val="FSCDraftingitem"/>
        <w:tabs>
          <w:tab w:val="clear" w:pos="851"/>
          <w:tab w:val="left" w:pos="1701"/>
        </w:tabs>
        <w:ind w:left="2268" w:hanging="2268"/>
      </w:pPr>
      <w:r>
        <w:tab/>
        <w:t>(b)</w:t>
      </w:r>
      <w:r>
        <w:tab/>
        <w:t>a combination of 2</w:t>
      </w:r>
      <w:r>
        <w:rPr>
          <w:rFonts w:cs="Arial"/>
          <w:i/>
        </w:rPr>
        <w:t>′</w:t>
      </w:r>
      <w:r>
        <w:rPr>
          <w:i/>
        </w:rPr>
        <w:t>-</w:t>
      </w:r>
      <w:r>
        <w:t>O-fucosyllactose and lacto-N-neotetraose.</w:t>
      </w:r>
    </w:p>
    <w:p w14:paraId="4AF33DEC" w14:textId="77777777" w:rsidR="004801C9" w:rsidRDefault="004801C9" w:rsidP="004801C9">
      <w:pPr>
        <w:pStyle w:val="FSCtMain"/>
        <w:ind w:left="0" w:firstLine="0"/>
      </w:pPr>
      <w:r>
        <w:rPr>
          <w:lang w:bidi="en-US"/>
        </w:rPr>
        <w:t>[1.2]</w:t>
      </w:r>
      <w:r>
        <w:rPr>
          <w:lang w:bidi="en-US"/>
        </w:rPr>
        <w:tab/>
        <w:t xml:space="preserve">inserting after paragraph </w:t>
      </w:r>
      <w:r>
        <w:t>2.9.1—24(1)(c)</w:t>
      </w:r>
    </w:p>
    <w:p w14:paraId="709B7387" w14:textId="77777777" w:rsidR="004801C9" w:rsidRDefault="004801C9" w:rsidP="004801C9">
      <w:pPr>
        <w:pStyle w:val="FSCtPara"/>
      </w:pPr>
      <w:r>
        <w:tab/>
        <w:t>(ca)</w:t>
      </w:r>
      <w:r>
        <w:tab/>
        <w:t>the words ‘human milk oligosaccharide’, ‘human milk identical oligosaccharide’ or any word or words having the same or similar effect; or</w:t>
      </w:r>
    </w:p>
    <w:p w14:paraId="16ABF85C" w14:textId="77777777" w:rsidR="004801C9" w:rsidRDefault="004801C9" w:rsidP="004801C9">
      <w:pPr>
        <w:pStyle w:val="FSCtPara"/>
      </w:pPr>
      <w:r>
        <w:tab/>
        <w:t>(cb)</w:t>
      </w:r>
      <w:r>
        <w:tab/>
        <w:t>the abbreviations ‘HMO’ or HiMO’ or any abbreviation having the same or similar effect; or</w:t>
      </w:r>
    </w:p>
    <w:p w14:paraId="5E638DB4" w14:textId="77777777" w:rsidR="004801C9" w:rsidRDefault="004801C9" w:rsidP="004801C9">
      <w:pPr>
        <w:pStyle w:val="FSCDraftingitem"/>
      </w:pPr>
      <w:r>
        <w:rPr>
          <w:b/>
          <w:lang w:bidi="en-US"/>
        </w:rPr>
        <w:t>[2]</w:t>
      </w:r>
      <w:r>
        <w:rPr>
          <w:b/>
          <w:lang w:bidi="en-US"/>
        </w:rPr>
        <w:tab/>
        <w:t xml:space="preserve">Standard 2.9.3 </w:t>
      </w:r>
      <w:r>
        <w:rPr>
          <w:lang w:bidi="en-US"/>
        </w:rPr>
        <w:t>is varied by</w:t>
      </w:r>
    </w:p>
    <w:p w14:paraId="2C4019A5" w14:textId="77777777" w:rsidR="004801C9" w:rsidRDefault="004801C9" w:rsidP="004801C9">
      <w:pPr>
        <w:pStyle w:val="FSCDraftingitem"/>
      </w:pPr>
      <w:r>
        <w:t>[2.1]</w:t>
      </w:r>
      <w:r>
        <w:tab/>
        <w:t>inserting after subsection 2.9.3—7(2)</w:t>
      </w:r>
    </w:p>
    <w:p w14:paraId="32248DF5" w14:textId="77777777" w:rsidR="004801C9" w:rsidRDefault="004801C9" w:rsidP="004801C9">
      <w:pPr>
        <w:pStyle w:val="FSCtMain"/>
      </w:pPr>
      <w:r>
        <w:tab/>
        <w:t>(2A)</w:t>
      </w:r>
      <w:r>
        <w:tab/>
        <w:t>A substance listed in Column 1 of the table to section S29—15A may be *used as a nutritive substance in a formulated supplementary food for young children if:</w:t>
      </w:r>
    </w:p>
    <w:p w14:paraId="3F66C0A1" w14:textId="77777777" w:rsidR="004801C9" w:rsidRDefault="004801C9" w:rsidP="004801C9">
      <w:pPr>
        <w:pStyle w:val="FSCtPara"/>
      </w:pPr>
      <w:r>
        <w:tab/>
        <w:t>(a)</w:t>
      </w:r>
      <w:r>
        <w:tab/>
        <w:t>the substance is in a permitted form listed in Column 2 of the table; and</w:t>
      </w:r>
    </w:p>
    <w:p w14:paraId="63F8A50C" w14:textId="77777777" w:rsidR="004801C9" w:rsidRDefault="004801C9" w:rsidP="004801C9">
      <w:pPr>
        <w:pStyle w:val="FSCtPara"/>
      </w:pPr>
      <w:r>
        <w:tab/>
        <w:t xml:space="preserve">(b) </w:t>
      </w:r>
      <w:r>
        <w:tab/>
        <w:t>the amount of the substance in the food (including any naturally-occurring amount) is no more than the corresponding amount listed in Column 3 of the table.</w:t>
      </w:r>
    </w:p>
    <w:p w14:paraId="54E09EEA" w14:textId="77777777" w:rsidR="004801C9" w:rsidRDefault="004801C9" w:rsidP="004801C9">
      <w:pPr>
        <w:pStyle w:val="FSCDraftingitem"/>
      </w:pPr>
      <w:r>
        <w:t>[2.2]</w:t>
      </w:r>
      <w:r>
        <w:tab/>
        <w:t>omitting subsection 2.9.2—7(3), substituting</w:t>
      </w:r>
    </w:p>
    <w:p w14:paraId="483D63E1" w14:textId="77777777" w:rsidR="004801C9" w:rsidRDefault="004801C9" w:rsidP="004801C9">
      <w:pPr>
        <w:pStyle w:val="FSCtMain"/>
      </w:pPr>
      <w:r>
        <w:tab/>
        <w:t>(3)</w:t>
      </w:r>
      <w:r>
        <w:tab/>
        <w:t>If *inulin-type fructans or *galacto-oligosaccharides are added to a formulated supplementary food for young children:</w:t>
      </w:r>
    </w:p>
    <w:p w14:paraId="762D85A7" w14:textId="77777777" w:rsidR="004801C9" w:rsidRDefault="004801C9" w:rsidP="004801C9">
      <w:pPr>
        <w:pStyle w:val="FSCtMain"/>
        <w:tabs>
          <w:tab w:val="clear" w:pos="1134"/>
          <w:tab w:val="left" w:pos="1701"/>
        </w:tabs>
        <w:ind w:left="2268" w:hanging="2268"/>
      </w:pPr>
      <w:r>
        <w:tab/>
        <w:t xml:space="preserve">(a) </w:t>
      </w:r>
      <w:r>
        <w:tab/>
        <w:t>the total amount of those substances, both added and naturally occurring, must not be more than 1.6 g/serving; and</w:t>
      </w:r>
    </w:p>
    <w:p w14:paraId="4B6D4C7B" w14:textId="77777777" w:rsidR="004801C9" w:rsidRDefault="004801C9" w:rsidP="004801C9">
      <w:pPr>
        <w:pStyle w:val="FSCtMain"/>
        <w:tabs>
          <w:tab w:val="clear" w:pos="1134"/>
          <w:tab w:val="left" w:pos="1701"/>
        </w:tabs>
        <w:ind w:left="2268" w:hanging="2268"/>
      </w:pPr>
      <w:r>
        <w:tab/>
        <w:t xml:space="preserve">(b) </w:t>
      </w:r>
      <w:r>
        <w:tab/>
        <w:t>the food must not contain any of the following added substances:</w:t>
      </w:r>
    </w:p>
    <w:p w14:paraId="3B1BEB6B" w14:textId="77777777" w:rsidR="004801C9" w:rsidRDefault="004801C9" w:rsidP="004801C9">
      <w:pPr>
        <w:pStyle w:val="FSCDraftingitem"/>
        <w:tabs>
          <w:tab w:val="clear" w:pos="851"/>
          <w:tab w:val="left" w:pos="2268"/>
        </w:tabs>
        <w:ind w:left="2835" w:hanging="2835"/>
      </w:pPr>
      <w:r>
        <w:rPr>
          <w:i/>
        </w:rPr>
        <w:tab/>
      </w:r>
      <w:r>
        <w:t>(i)</w:t>
      </w:r>
      <w:r>
        <w:tab/>
        <w:t>2</w:t>
      </w:r>
      <w:r>
        <w:rPr>
          <w:rFonts w:cs="Arial"/>
        </w:rPr>
        <w:t>′</w:t>
      </w:r>
      <w:r>
        <w:t>-O-fucosyllactose; or</w:t>
      </w:r>
    </w:p>
    <w:p w14:paraId="39232E74" w14:textId="77777777" w:rsidR="004801C9" w:rsidRDefault="004801C9" w:rsidP="004801C9">
      <w:pPr>
        <w:pStyle w:val="FSCtMain"/>
        <w:tabs>
          <w:tab w:val="left" w:pos="2268"/>
        </w:tabs>
        <w:ind w:left="2835" w:hanging="2835"/>
      </w:pPr>
      <w:r>
        <w:tab/>
      </w:r>
      <w:r>
        <w:tab/>
        <w:t>(ii)</w:t>
      </w:r>
      <w:r>
        <w:tab/>
        <w:t>a combination of 2′</w:t>
      </w:r>
      <w:r>
        <w:rPr>
          <w:i/>
        </w:rPr>
        <w:t>-</w:t>
      </w:r>
      <w:r>
        <w:t>O-fucosyllactose and lacto-N-neotetraose.</w:t>
      </w:r>
    </w:p>
    <w:p w14:paraId="15B9F607" w14:textId="77777777" w:rsidR="004801C9" w:rsidRDefault="004801C9" w:rsidP="004801C9">
      <w:pPr>
        <w:pStyle w:val="FSCDraftingitem"/>
      </w:pPr>
      <w:r>
        <w:t>[2.3]</w:t>
      </w:r>
      <w:r>
        <w:tab/>
        <w:t>omitting subsection 2.9.3—7(4)</w:t>
      </w:r>
    </w:p>
    <w:p w14:paraId="1A2034E0" w14:textId="77777777" w:rsidR="004801C9" w:rsidRDefault="004801C9" w:rsidP="004801C9">
      <w:pPr>
        <w:pStyle w:val="FSCDraftingitem"/>
      </w:pPr>
      <w:r>
        <w:t>[2.4]</w:t>
      </w:r>
      <w:r>
        <w:tab/>
        <w:t>omitting subsection 2.9.3—8(6), substituting</w:t>
      </w:r>
    </w:p>
    <w:p w14:paraId="6099300B" w14:textId="77777777" w:rsidR="004801C9" w:rsidRDefault="004801C9" w:rsidP="004801C9">
      <w:pPr>
        <w:pStyle w:val="FSCDraftingitem"/>
        <w:tabs>
          <w:tab w:val="clear" w:pos="851"/>
          <w:tab w:val="left" w:pos="1134"/>
        </w:tabs>
        <w:ind w:left="1701" w:hanging="1701"/>
        <w:rPr>
          <w:rFonts w:cs="Arial"/>
        </w:rPr>
      </w:pPr>
      <w:r>
        <w:tab/>
        <w:t>(6)</w:t>
      </w:r>
      <w:r>
        <w:tab/>
      </w:r>
      <w:r>
        <w:rPr>
          <w:rFonts w:cs="Arial"/>
        </w:rPr>
        <w:t>The label on a package of a</w:t>
      </w:r>
      <w:r>
        <w:t xml:space="preserve"> formulated supplementary food for young children</w:t>
      </w:r>
      <w:r>
        <w:rPr>
          <w:rFonts w:cs="Arial"/>
        </w:rPr>
        <w:t xml:space="preserve"> must not contain:</w:t>
      </w:r>
    </w:p>
    <w:p w14:paraId="6FD4F873" w14:textId="77777777" w:rsidR="004801C9" w:rsidRDefault="004801C9" w:rsidP="004801C9">
      <w:pPr>
        <w:pStyle w:val="FSCDraftingitem"/>
        <w:tabs>
          <w:tab w:val="clear" w:pos="851"/>
          <w:tab w:val="left" w:pos="1701"/>
        </w:tabs>
        <w:ind w:left="2268" w:hanging="2268"/>
        <w:rPr>
          <w:rFonts w:cs="Arial"/>
        </w:rPr>
      </w:pPr>
      <w:r>
        <w:rPr>
          <w:rFonts w:cs="Arial"/>
        </w:rPr>
        <w:tab/>
        <w:t>(a)</w:t>
      </w:r>
      <w:r>
        <w:rPr>
          <w:rFonts w:cs="Arial"/>
        </w:rPr>
        <w:tab/>
        <w:t>the words ‘human milk oligosaccharide’ or ‘human milk identical oligosaccharide’ or any word or words having the same or similar effect; or</w:t>
      </w:r>
    </w:p>
    <w:p w14:paraId="584C478A" w14:textId="77777777" w:rsidR="004801C9" w:rsidRDefault="004801C9" w:rsidP="004801C9">
      <w:pPr>
        <w:pStyle w:val="FSCDraftingitem"/>
        <w:tabs>
          <w:tab w:val="clear" w:pos="851"/>
          <w:tab w:val="left" w:pos="1701"/>
        </w:tabs>
        <w:ind w:left="2268" w:hanging="2268"/>
        <w:rPr>
          <w:rFonts w:cs="Arial"/>
        </w:rPr>
      </w:pPr>
      <w:r>
        <w:rPr>
          <w:rFonts w:cs="Arial"/>
        </w:rPr>
        <w:tab/>
        <w:t xml:space="preserve">(b) </w:t>
      </w:r>
      <w:r>
        <w:rPr>
          <w:rFonts w:cs="Arial"/>
        </w:rPr>
        <w:tab/>
        <w:t>the abbreviations ‘HMO’ or HiMO’ or any abbreviation having the same or similar effect; or</w:t>
      </w:r>
    </w:p>
    <w:p w14:paraId="01616B67" w14:textId="77777777" w:rsidR="004801C9" w:rsidRDefault="004801C9" w:rsidP="004801C9">
      <w:pPr>
        <w:pStyle w:val="FSCDraftingitem"/>
        <w:tabs>
          <w:tab w:val="clear" w:pos="851"/>
          <w:tab w:val="left" w:pos="1701"/>
        </w:tabs>
        <w:ind w:left="2268" w:hanging="2268"/>
        <w:rPr>
          <w:rFonts w:cs="Arial"/>
        </w:rPr>
      </w:pPr>
      <w:r>
        <w:rPr>
          <w:rFonts w:cs="Arial"/>
        </w:rPr>
        <w:tab/>
        <w:t>(c)</w:t>
      </w:r>
      <w:r>
        <w:rPr>
          <w:rFonts w:cs="Arial"/>
        </w:rPr>
        <w:tab/>
        <w:t xml:space="preserve">any words indicating, or any other indication, that the product contains lutein unless the total amount of lutein is no less than 30 </w:t>
      </w:r>
      <w:r>
        <w:t>µg/serving.</w:t>
      </w:r>
    </w:p>
    <w:p w14:paraId="116201F9" w14:textId="77777777" w:rsidR="004801C9" w:rsidRDefault="004801C9" w:rsidP="004801C9">
      <w:pPr>
        <w:pStyle w:val="FSCDraftingitem"/>
      </w:pPr>
      <w:r>
        <w:rPr>
          <w:b/>
          <w:lang w:bidi="en-US"/>
        </w:rPr>
        <w:t>[3]</w:t>
      </w:r>
      <w:r>
        <w:rPr>
          <w:b/>
          <w:lang w:bidi="en-US"/>
        </w:rPr>
        <w:tab/>
        <w:t xml:space="preserve">Schedule 2 </w:t>
      </w:r>
      <w:r>
        <w:rPr>
          <w:lang w:bidi="en-US"/>
        </w:rPr>
        <w:t>is varied by inserting in the table to section S</w:t>
      </w:r>
      <w:r>
        <w:t>2—2, in alphabetical order</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2"/>
        <w:tblDescription w:val="Schedule 2 is varied by inserting the unit of measure EU/mg (endotoxin units per milligram) in the table to section S2-2."/>
      </w:tblPr>
      <w:tblGrid>
        <w:gridCol w:w="1844"/>
        <w:gridCol w:w="2692"/>
      </w:tblGrid>
      <w:tr w:rsidR="004801C9" w14:paraId="0F56B977" w14:textId="77777777" w:rsidTr="004801C9">
        <w:trPr>
          <w:jc w:val="center"/>
        </w:trPr>
        <w:tc>
          <w:tcPr>
            <w:tcW w:w="1844" w:type="dxa"/>
            <w:hideMark/>
          </w:tcPr>
          <w:p w14:paraId="77F25FBB" w14:textId="77777777" w:rsidR="004801C9" w:rsidRDefault="004801C9">
            <w:pPr>
              <w:pStyle w:val="FSCtblMain"/>
            </w:pPr>
            <w:r>
              <w:t>EU/mg</w:t>
            </w:r>
          </w:p>
        </w:tc>
        <w:tc>
          <w:tcPr>
            <w:tcW w:w="2692" w:type="dxa"/>
            <w:hideMark/>
          </w:tcPr>
          <w:p w14:paraId="284F9012" w14:textId="77777777" w:rsidR="004801C9" w:rsidRDefault="004801C9">
            <w:pPr>
              <w:pStyle w:val="FSCtblMain"/>
            </w:pPr>
            <w:r>
              <w:t>Endotoxin units per milligram</w:t>
            </w:r>
          </w:p>
        </w:tc>
      </w:tr>
    </w:tbl>
    <w:p w14:paraId="0D15C32E" w14:textId="77777777" w:rsidR="004801C9" w:rsidRDefault="004801C9" w:rsidP="004801C9">
      <w:pPr>
        <w:pStyle w:val="FSCDraftingitem"/>
        <w:rPr>
          <w:lang w:bidi="en-US"/>
        </w:rPr>
      </w:pPr>
      <w:r>
        <w:rPr>
          <w:b/>
          <w:lang w:bidi="en-US"/>
        </w:rPr>
        <w:t>[4]</w:t>
      </w:r>
      <w:r>
        <w:rPr>
          <w:b/>
          <w:lang w:bidi="en-US"/>
        </w:rPr>
        <w:tab/>
        <w:t xml:space="preserve">Schedule 3 </w:t>
      </w:r>
      <w:r>
        <w:rPr>
          <w:lang w:bidi="en-US"/>
        </w:rPr>
        <w:t xml:space="preserve">is varied by </w:t>
      </w:r>
    </w:p>
    <w:p w14:paraId="16ED70FD" w14:textId="77777777" w:rsidR="004801C9" w:rsidRDefault="004801C9" w:rsidP="004801C9">
      <w:pPr>
        <w:pStyle w:val="FSCDraftingitem"/>
        <w:rPr>
          <w:lang w:bidi="en-US"/>
        </w:rPr>
      </w:pPr>
      <w:r>
        <w:rPr>
          <w:lang w:bidi="en-US"/>
        </w:rPr>
        <w:t>[4.1]</w:t>
      </w:r>
      <w:r>
        <w:rPr>
          <w:lang w:bidi="en-US"/>
        </w:rPr>
        <w:tab/>
        <w:t xml:space="preserve">inserting in the table to subsection </w:t>
      </w:r>
      <w:r>
        <w:t>S3—2</w:t>
      </w:r>
      <w:r>
        <w:rPr>
          <w:lang w:bidi="en-US"/>
        </w:rPr>
        <w:t>(2)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ired by inserting '2′-O-fucosyllactose' in the table in subsection S3-2(2) in alphabetical order."/>
      </w:tblPr>
      <w:tblGrid>
        <w:gridCol w:w="4254"/>
        <w:gridCol w:w="2550"/>
      </w:tblGrid>
      <w:tr w:rsidR="004801C9" w14:paraId="7B656C67" w14:textId="77777777" w:rsidTr="004801C9">
        <w:trPr>
          <w:cantSplit/>
          <w:jc w:val="center"/>
        </w:trPr>
        <w:tc>
          <w:tcPr>
            <w:tcW w:w="4254" w:type="dxa"/>
            <w:hideMark/>
          </w:tcPr>
          <w:p w14:paraId="2E145302" w14:textId="77777777" w:rsidR="004801C9" w:rsidRDefault="004801C9">
            <w:pPr>
              <w:pStyle w:val="FSCtblMain"/>
              <w:rPr>
                <w:rFonts w:cs="Times New Roman"/>
              </w:rPr>
            </w:pPr>
            <w:r>
              <w:t>2</w:t>
            </w:r>
            <w:r>
              <w:rPr>
                <w:i/>
              </w:rPr>
              <w:t>′-</w:t>
            </w:r>
            <w:r>
              <w:t>O-fucosyllactose</w:t>
            </w:r>
          </w:p>
        </w:tc>
        <w:tc>
          <w:tcPr>
            <w:tcW w:w="2550" w:type="dxa"/>
            <w:hideMark/>
          </w:tcPr>
          <w:p w14:paraId="5CC136F0" w14:textId="77777777" w:rsidR="004801C9" w:rsidRDefault="004801C9">
            <w:pPr>
              <w:pStyle w:val="FSCtblMain"/>
            </w:pPr>
            <w:r>
              <w:t>section S3—40</w:t>
            </w:r>
          </w:p>
        </w:tc>
      </w:tr>
    </w:tbl>
    <w:p w14:paraId="7CFC95BD" w14:textId="77777777" w:rsidR="004801C9" w:rsidRDefault="004801C9" w:rsidP="004801C9">
      <w:pPr>
        <w:pStyle w:val="FSCDraftingitem"/>
        <w:rPr>
          <w:lang w:bidi="en-US"/>
        </w:rPr>
      </w:pPr>
      <w:r>
        <w:rPr>
          <w:lang w:bidi="en-US"/>
        </w:rPr>
        <w:t>[4.2]</w:t>
      </w:r>
      <w:r>
        <w:rPr>
          <w:lang w:bidi="en-US"/>
        </w:rPr>
        <w:tab/>
        <w:t xml:space="preserve">inserting in the table to subsection </w:t>
      </w:r>
      <w:r>
        <w:t>S3—2</w:t>
      </w:r>
      <w:r>
        <w:rPr>
          <w:lang w:bidi="en-US"/>
        </w:rPr>
        <w:t>(2)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lacto-N-neotetraose"/>
        <w:tblDescription w:val="Schedule 3 is vaired by inserting 'lacto-N-neotetraose' in the table in subsection S3-2(2) in alphabetical order"/>
      </w:tblPr>
      <w:tblGrid>
        <w:gridCol w:w="4254"/>
        <w:gridCol w:w="2550"/>
      </w:tblGrid>
      <w:tr w:rsidR="004801C9" w14:paraId="407B9C43" w14:textId="77777777" w:rsidTr="004801C9">
        <w:trPr>
          <w:cantSplit/>
          <w:jc w:val="center"/>
        </w:trPr>
        <w:tc>
          <w:tcPr>
            <w:tcW w:w="4254" w:type="dxa"/>
            <w:hideMark/>
          </w:tcPr>
          <w:p w14:paraId="01096A47" w14:textId="77777777" w:rsidR="004801C9" w:rsidRDefault="004801C9">
            <w:pPr>
              <w:pStyle w:val="FSCtblMain"/>
              <w:rPr>
                <w:rFonts w:cs="Times New Roman"/>
              </w:rPr>
            </w:pPr>
            <w:r>
              <w:t>lacto-N-neotetraose</w:t>
            </w:r>
          </w:p>
        </w:tc>
        <w:tc>
          <w:tcPr>
            <w:tcW w:w="2550" w:type="dxa"/>
            <w:hideMark/>
          </w:tcPr>
          <w:p w14:paraId="613EC795" w14:textId="77777777" w:rsidR="004801C9" w:rsidRDefault="004801C9">
            <w:pPr>
              <w:pStyle w:val="FSCtblMain"/>
            </w:pPr>
            <w:r>
              <w:t>section S3—41</w:t>
            </w:r>
          </w:p>
        </w:tc>
      </w:tr>
    </w:tbl>
    <w:p w14:paraId="61268251" w14:textId="77777777" w:rsidR="004801C9" w:rsidRDefault="004801C9" w:rsidP="004801C9">
      <w:pPr>
        <w:pStyle w:val="FSCDraftingitem"/>
        <w:rPr>
          <w:lang w:bidi="en-US"/>
        </w:rPr>
      </w:pPr>
      <w:r>
        <w:rPr>
          <w:lang w:bidi="en-US"/>
        </w:rPr>
        <w:t xml:space="preserve"> [4.3]</w:t>
      </w:r>
      <w:r>
        <w:rPr>
          <w:lang w:bidi="en-US"/>
        </w:rPr>
        <w:tab/>
        <w:t>inserting after subsection S</w:t>
      </w:r>
      <w:r>
        <w:t>3—39</w:t>
      </w:r>
    </w:p>
    <w:p w14:paraId="1D623E4F" w14:textId="77777777" w:rsidR="004801C9" w:rsidRDefault="004801C9" w:rsidP="004801C9">
      <w:pPr>
        <w:pStyle w:val="FSCh5Section"/>
      </w:pPr>
      <w:r>
        <w:t>S3—40</w:t>
      </w:r>
      <w:r>
        <w:tab/>
        <w:t xml:space="preserve">Specification for </w:t>
      </w:r>
      <w:r>
        <w:rPr>
          <w:i/>
        </w:rPr>
        <w:t>2</w:t>
      </w:r>
      <w:r>
        <w:rPr>
          <w:rFonts w:cs="Arial"/>
          <w:i/>
        </w:rPr>
        <w:t>′</w:t>
      </w:r>
      <w:r>
        <w:rPr>
          <w:i/>
        </w:rPr>
        <w:t>-</w:t>
      </w:r>
      <w:r>
        <w:t>O-fucosyllactose</w:t>
      </w:r>
    </w:p>
    <w:p w14:paraId="5CFD3138" w14:textId="77777777" w:rsidR="004801C9" w:rsidRDefault="004801C9" w:rsidP="004801C9">
      <w:pPr>
        <w:pStyle w:val="FSCtMain"/>
        <w:rPr>
          <w:szCs w:val="20"/>
        </w:rPr>
      </w:pPr>
      <w:r>
        <w:tab/>
      </w:r>
      <w:r>
        <w:tab/>
      </w:r>
      <w:r>
        <w:rPr>
          <w:szCs w:val="20"/>
        </w:rPr>
        <w:t>For 2′</w:t>
      </w:r>
      <w:r>
        <w:rPr>
          <w:i/>
          <w:szCs w:val="20"/>
        </w:rPr>
        <w:t>-</w:t>
      </w:r>
      <w:r>
        <w:rPr>
          <w:szCs w:val="20"/>
        </w:rPr>
        <w:t>O-fucosyllactose (2′-FL), the specifications are the following:</w:t>
      </w:r>
    </w:p>
    <w:p w14:paraId="785606FC" w14:textId="77777777" w:rsidR="004801C9" w:rsidRDefault="004801C9" w:rsidP="004801C9">
      <w:pPr>
        <w:pStyle w:val="FSCtPara"/>
        <w:rPr>
          <w:szCs w:val="20"/>
        </w:rPr>
      </w:pPr>
      <w:r>
        <w:rPr>
          <w:szCs w:val="20"/>
        </w:rPr>
        <w:tab/>
        <w:t>(a)</w:t>
      </w:r>
      <w:r>
        <w:rPr>
          <w:szCs w:val="20"/>
        </w:rPr>
        <w:tab/>
        <w:t xml:space="preserve">chemical name—–α-L-fucopyranosyl-(1→2)-β-D-galactopyranosyl-(1→4)-D-glucopyranose; </w:t>
      </w:r>
    </w:p>
    <w:p w14:paraId="1756E2FE" w14:textId="77777777" w:rsidR="004801C9" w:rsidRDefault="004801C9" w:rsidP="004801C9">
      <w:pPr>
        <w:pStyle w:val="FSCtPara"/>
        <w:rPr>
          <w:szCs w:val="20"/>
        </w:rPr>
      </w:pPr>
      <w:r>
        <w:rPr>
          <w:szCs w:val="20"/>
        </w:rPr>
        <w:tab/>
        <w:t>(b)</w:t>
      </w:r>
      <w:r>
        <w:rPr>
          <w:szCs w:val="20"/>
        </w:rPr>
        <w:tab/>
        <w:t>chemical formula—</w:t>
      </w:r>
      <w:r>
        <w:rPr>
          <w:szCs w:val="20"/>
          <w:lang w:val="en"/>
        </w:rPr>
        <w:t>C</w:t>
      </w:r>
      <w:r>
        <w:rPr>
          <w:szCs w:val="20"/>
          <w:vertAlign w:val="subscript"/>
          <w:lang w:val="en"/>
        </w:rPr>
        <w:t>18</w:t>
      </w:r>
      <w:r>
        <w:rPr>
          <w:szCs w:val="20"/>
          <w:lang w:val="en"/>
        </w:rPr>
        <w:t>H</w:t>
      </w:r>
      <w:r>
        <w:rPr>
          <w:szCs w:val="20"/>
          <w:vertAlign w:val="subscript"/>
          <w:lang w:val="en"/>
        </w:rPr>
        <w:t>32</w:t>
      </w:r>
      <w:r>
        <w:rPr>
          <w:szCs w:val="20"/>
          <w:lang w:val="en"/>
        </w:rPr>
        <w:t>O</w:t>
      </w:r>
      <w:r>
        <w:rPr>
          <w:szCs w:val="20"/>
          <w:vertAlign w:val="subscript"/>
          <w:lang w:val="en"/>
        </w:rPr>
        <w:t>15</w:t>
      </w:r>
      <w:r>
        <w:rPr>
          <w:szCs w:val="20"/>
        </w:rPr>
        <w:t>;</w:t>
      </w:r>
    </w:p>
    <w:p w14:paraId="7B4EDE0C" w14:textId="77777777" w:rsidR="004801C9" w:rsidRDefault="004801C9" w:rsidP="004801C9">
      <w:pPr>
        <w:pStyle w:val="FSCtPara"/>
        <w:rPr>
          <w:szCs w:val="20"/>
        </w:rPr>
      </w:pPr>
      <w:r>
        <w:rPr>
          <w:szCs w:val="20"/>
        </w:rPr>
        <w:tab/>
        <w:t>(c)</w:t>
      </w:r>
      <w:r>
        <w:rPr>
          <w:szCs w:val="20"/>
        </w:rPr>
        <w:tab/>
        <w:t>CAS number—41263-94-9;</w:t>
      </w:r>
    </w:p>
    <w:p w14:paraId="1BA95FE8" w14:textId="77777777" w:rsidR="004801C9" w:rsidRDefault="004801C9" w:rsidP="004801C9">
      <w:pPr>
        <w:pStyle w:val="FSCtPara"/>
        <w:rPr>
          <w:szCs w:val="20"/>
        </w:rPr>
      </w:pPr>
      <w:r>
        <w:rPr>
          <w:szCs w:val="20"/>
        </w:rPr>
        <w:tab/>
        <w:t>(d)</w:t>
      </w:r>
      <w:r>
        <w:rPr>
          <w:szCs w:val="20"/>
        </w:rPr>
        <w:tab/>
        <w:t>description— white to off white powder or agglomerates;</w:t>
      </w:r>
    </w:p>
    <w:p w14:paraId="4BD11056" w14:textId="77777777" w:rsidR="004801C9" w:rsidRDefault="004801C9" w:rsidP="004801C9">
      <w:pPr>
        <w:pStyle w:val="FSCtPara"/>
        <w:rPr>
          <w:szCs w:val="20"/>
        </w:rPr>
      </w:pPr>
      <w:r>
        <w:rPr>
          <w:szCs w:val="20"/>
        </w:rPr>
        <w:tab/>
        <w:t>(e)</w:t>
      </w:r>
      <w:r>
        <w:rPr>
          <w:szCs w:val="20"/>
        </w:rPr>
        <w:tab/>
        <w:t>assay (water free) for sum of 2′-FL, lactose,</w:t>
      </w:r>
      <w:r>
        <w:rPr>
          <w:i/>
          <w:szCs w:val="20"/>
        </w:rPr>
        <w:t xml:space="preserve"> </w:t>
      </w:r>
      <w:r>
        <w:rPr>
          <w:szCs w:val="20"/>
        </w:rPr>
        <w:t>difucosyllactose and fucose—not less than 96.0%;</w:t>
      </w:r>
    </w:p>
    <w:p w14:paraId="2E6C90E7" w14:textId="77777777" w:rsidR="004801C9" w:rsidRDefault="004801C9" w:rsidP="004801C9">
      <w:pPr>
        <w:pStyle w:val="FSCtPara"/>
        <w:rPr>
          <w:szCs w:val="20"/>
        </w:rPr>
      </w:pPr>
      <w:r>
        <w:rPr>
          <w:szCs w:val="20"/>
        </w:rPr>
        <w:tab/>
        <w:t>(f)</w:t>
      </w:r>
      <w:r>
        <w:rPr>
          <w:szCs w:val="20"/>
        </w:rPr>
        <w:tab/>
        <w:t>assay (water free) 2′-FL—–not less than 94.0%;</w:t>
      </w:r>
    </w:p>
    <w:p w14:paraId="15FFC9B5" w14:textId="77777777" w:rsidR="004801C9" w:rsidRDefault="004801C9" w:rsidP="004801C9">
      <w:pPr>
        <w:pStyle w:val="FSCtPara"/>
        <w:rPr>
          <w:szCs w:val="20"/>
        </w:rPr>
      </w:pPr>
      <w:r>
        <w:rPr>
          <w:szCs w:val="20"/>
          <w:lang w:bidi="en-US"/>
        </w:rPr>
        <w:tab/>
      </w:r>
      <w:r>
        <w:rPr>
          <w:szCs w:val="20"/>
        </w:rPr>
        <w:t>(g)</w:t>
      </w:r>
      <w:r>
        <w:rPr>
          <w:szCs w:val="20"/>
        </w:rPr>
        <w:tab/>
        <w:t>D-lactose—–not more than 3.0%</w:t>
      </w:r>
    </w:p>
    <w:p w14:paraId="10E9EBCA" w14:textId="77777777" w:rsidR="004801C9" w:rsidRDefault="004801C9" w:rsidP="004801C9">
      <w:pPr>
        <w:pStyle w:val="FSCtPara"/>
        <w:rPr>
          <w:szCs w:val="20"/>
        </w:rPr>
      </w:pPr>
      <w:r>
        <w:rPr>
          <w:szCs w:val="20"/>
        </w:rPr>
        <w:tab/>
        <w:t>(h)</w:t>
      </w:r>
      <w:r>
        <w:rPr>
          <w:szCs w:val="20"/>
        </w:rPr>
        <w:tab/>
        <w:t>L-fucose—–not more than 1.0%</w:t>
      </w:r>
    </w:p>
    <w:p w14:paraId="79075F59" w14:textId="77777777" w:rsidR="004801C9" w:rsidRDefault="004801C9" w:rsidP="004801C9">
      <w:pPr>
        <w:pStyle w:val="FSCtPara"/>
        <w:rPr>
          <w:szCs w:val="20"/>
        </w:rPr>
      </w:pPr>
      <w:r>
        <w:rPr>
          <w:szCs w:val="20"/>
        </w:rPr>
        <w:tab/>
        <w:t>(i)</w:t>
      </w:r>
      <w:r>
        <w:rPr>
          <w:szCs w:val="20"/>
        </w:rPr>
        <w:tab/>
        <w:t>difucosyllactose—–not more than 1.0%</w:t>
      </w:r>
    </w:p>
    <w:p w14:paraId="2AE1D7AA" w14:textId="77777777" w:rsidR="004801C9" w:rsidRDefault="004801C9" w:rsidP="004801C9">
      <w:pPr>
        <w:pStyle w:val="FSCtPara"/>
        <w:rPr>
          <w:szCs w:val="20"/>
        </w:rPr>
      </w:pPr>
      <w:r>
        <w:rPr>
          <w:szCs w:val="20"/>
        </w:rPr>
        <w:tab/>
        <w:t>(j)</w:t>
      </w:r>
      <w:r>
        <w:rPr>
          <w:szCs w:val="20"/>
        </w:rPr>
        <w:tab/>
        <w:t>2′-fucosyl-D-lactulose—–not more than 1.0%</w:t>
      </w:r>
    </w:p>
    <w:p w14:paraId="351B51D3" w14:textId="77777777" w:rsidR="004801C9" w:rsidRDefault="004801C9" w:rsidP="004801C9">
      <w:pPr>
        <w:pStyle w:val="FSCtPara"/>
        <w:rPr>
          <w:szCs w:val="20"/>
        </w:rPr>
      </w:pPr>
      <w:r>
        <w:rPr>
          <w:szCs w:val="20"/>
        </w:rPr>
        <w:tab/>
        <w:t>(k)</w:t>
      </w:r>
      <w:r>
        <w:rPr>
          <w:szCs w:val="20"/>
        </w:rPr>
        <w:tab/>
        <w:t>pH (20°C, 5% solution)—–3.2 to 5.0</w:t>
      </w:r>
    </w:p>
    <w:p w14:paraId="741EE6EA" w14:textId="77777777" w:rsidR="004801C9" w:rsidRDefault="004801C9" w:rsidP="004801C9">
      <w:pPr>
        <w:pStyle w:val="FSCtPara"/>
        <w:rPr>
          <w:szCs w:val="20"/>
        </w:rPr>
      </w:pPr>
      <w:r>
        <w:rPr>
          <w:szCs w:val="20"/>
        </w:rPr>
        <w:tab/>
        <w:t>(l)</w:t>
      </w:r>
      <w:r>
        <w:rPr>
          <w:szCs w:val="20"/>
        </w:rPr>
        <w:tab/>
        <w:t>water—–not more than 5.0%</w:t>
      </w:r>
    </w:p>
    <w:p w14:paraId="608D81FD" w14:textId="77777777" w:rsidR="004801C9" w:rsidRDefault="004801C9" w:rsidP="004801C9">
      <w:pPr>
        <w:pStyle w:val="FSCtPara"/>
        <w:rPr>
          <w:szCs w:val="20"/>
        </w:rPr>
      </w:pPr>
      <w:r>
        <w:rPr>
          <w:szCs w:val="20"/>
        </w:rPr>
        <w:tab/>
        <w:t>(m)</w:t>
      </w:r>
      <w:r>
        <w:rPr>
          <w:szCs w:val="20"/>
        </w:rPr>
        <w:tab/>
        <w:t>ash, sulphated—–not more than 1.5%</w:t>
      </w:r>
    </w:p>
    <w:p w14:paraId="2FC09ECD" w14:textId="77777777" w:rsidR="004801C9" w:rsidRDefault="004801C9" w:rsidP="004801C9">
      <w:pPr>
        <w:pStyle w:val="FSCtPara"/>
        <w:rPr>
          <w:szCs w:val="20"/>
        </w:rPr>
      </w:pPr>
      <w:r>
        <w:rPr>
          <w:szCs w:val="20"/>
        </w:rPr>
        <w:tab/>
        <w:t>(n)</w:t>
      </w:r>
      <w:r>
        <w:rPr>
          <w:szCs w:val="20"/>
        </w:rPr>
        <w:tab/>
        <w:t>acetic acid (as free acid and/or sodium acetate)—–not more than 1.0%</w:t>
      </w:r>
    </w:p>
    <w:p w14:paraId="0B98FACA" w14:textId="77777777" w:rsidR="004801C9" w:rsidRDefault="004801C9" w:rsidP="004801C9">
      <w:pPr>
        <w:pStyle w:val="FSCtPara"/>
        <w:rPr>
          <w:szCs w:val="20"/>
        </w:rPr>
      </w:pPr>
      <w:r>
        <w:rPr>
          <w:szCs w:val="20"/>
        </w:rPr>
        <w:tab/>
        <w:t>(o)</w:t>
      </w:r>
      <w:r>
        <w:rPr>
          <w:szCs w:val="20"/>
        </w:rPr>
        <w:tab/>
        <w:t>residual proteins—–not more than 0.01%</w:t>
      </w:r>
    </w:p>
    <w:p w14:paraId="06D9C278" w14:textId="77777777" w:rsidR="004801C9" w:rsidRDefault="004801C9" w:rsidP="004801C9">
      <w:pPr>
        <w:pStyle w:val="FSCtPara"/>
        <w:rPr>
          <w:szCs w:val="20"/>
        </w:rPr>
      </w:pPr>
      <w:r>
        <w:rPr>
          <w:szCs w:val="20"/>
        </w:rPr>
        <w:tab/>
        <w:t>(p)</w:t>
      </w:r>
      <w:r>
        <w:rPr>
          <w:szCs w:val="20"/>
        </w:rPr>
        <w:tab/>
        <w:t>lead—–not more than 0.1 mg/kg</w:t>
      </w:r>
    </w:p>
    <w:p w14:paraId="6B063A13" w14:textId="77777777" w:rsidR="004801C9" w:rsidRDefault="004801C9" w:rsidP="004801C9">
      <w:pPr>
        <w:pStyle w:val="ListParagraph"/>
        <w:tabs>
          <w:tab w:val="left" w:pos="1701"/>
        </w:tabs>
        <w:ind w:left="2268" w:hanging="2268"/>
        <w:rPr>
          <w:sz w:val="20"/>
          <w:szCs w:val="20"/>
        </w:rPr>
      </w:pPr>
      <w:r>
        <w:rPr>
          <w:sz w:val="20"/>
          <w:szCs w:val="20"/>
        </w:rPr>
        <w:tab/>
        <w:t>(q)</w:t>
      </w:r>
      <w:r>
        <w:rPr>
          <w:sz w:val="20"/>
          <w:szCs w:val="20"/>
        </w:rPr>
        <w:tab/>
        <w:t>microbiological:</w:t>
      </w:r>
    </w:p>
    <w:p w14:paraId="68EEEBDA" w14:textId="77777777" w:rsidR="004801C9" w:rsidRDefault="004801C9" w:rsidP="004801C9">
      <w:pPr>
        <w:pStyle w:val="ListParagraph"/>
        <w:tabs>
          <w:tab w:val="left" w:pos="2268"/>
        </w:tabs>
        <w:ind w:left="2835" w:hanging="2835"/>
        <w:rPr>
          <w:sz w:val="20"/>
          <w:szCs w:val="20"/>
        </w:rPr>
      </w:pPr>
      <w:r>
        <w:rPr>
          <w:i/>
          <w:sz w:val="20"/>
          <w:szCs w:val="20"/>
        </w:rPr>
        <w:tab/>
      </w:r>
      <w:r>
        <w:rPr>
          <w:sz w:val="20"/>
          <w:szCs w:val="20"/>
        </w:rPr>
        <w:t xml:space="preserve">(i) </w:t>
      </w:r>
      <w:r>
        <w:rPr>
          <w:sz w:val="20"/>
          <w:szCs w:val="20"/>
        </w:rPr>
        <w:tab/>
      </w:r>
      <w:r>
        <w:rPr>
          <w:i/>
          <w:sz w:val="20"/>
          <w:szCs w:val="20"/>
        </w:rPr>
        <w:t>salmonella</w:t>
      </w:r>
      <w:r>
        <w:rPr>
          <w:sz w:val="20"/>
          <w:szCs w:val="20"/>
        </w:rPr>
        <w:t>—–absent in 25 g</w:t>
      </w:r>
    </w:p>
    <w:p w14:paraId="30DAFB43" w14:textId="77777777" w:rsidR="004801C9" w:rsidRDefault="004801C9" w:rsidP="004801C9">
      <w:pPr>
        <w:pStyle w:val="ListParagraph"/>
        <w:tabs>
          <w:tab w:val="left" w:pos="2268"/>
        </w:tabs>
        <w:ind w:left="2835" w:hanging="2835"/>
        <w:rPr>
          <w:sz w:val="20"/>
          <w:szCs w:val="20"/>
        </w:rPr>
      </w:pPr>
      <w:r>
        <w:rPr>
          <w:sz w:val="20"/>
          <w:szCs w:val="20"/>
        </w:rPr>
        <w:t xml:space="preserve"> </w:t>
      </w:r>
      <w:r>
        <w:rPr>
          <w:sz w:val="20"/>
          <w:szCs w:val="20"/>
        </w:rPr>
        <w:tab/>
        <w:t xml:space="preserve">(ii) </w:t>
      </w:r>
      <w:r>
        <w:rPr>
          <w:sz w:val="20"/>
          <w:szCs w:val="20"/>
        </w:rPr>
        <w:tab/>
        <w:t>total plate count—–not more than 500 cfu/g</w:t>
      </w:r>
    </w:p>
    <w:p w14:paraId="5BE616D9" w14:textId="77777777" w:rsidR="004801C9" w:rsidRDefault="004801C9" w:rsidP="004801C9">
      <w:pPr>
        <w:pStyle w:val="ListParagraph"/>
        <w:tabs>
          <w:tab w:val="left" w:pos="2268"/>
        </w:tabs>
        <w:ind w:left="2835" w:hanging="2835"/>
        <w:rPr>
          <w:sz w:val="20"/>
          <w:szCs w:val="20"/>
        </w:rPr>
      </w:pPr>
      <w:r>
        <w:rPr>
          <w:sz w:val="20"/>
          <w:szCs w:val="20"/>
        </w:rPr>
        <w:tab/>
        <w:t xml:space="preserve">(iii) </w:t>
      </w:r>
      <w:r>
        <w:rPr>
          <w:sz w:val="20"/>
          <w:szCs w:val="20"/>
        </w:rPr>
        <w:tab/>
        <w:t>enterobacteriaceae—–absent in 10 g</w:t>
      </w:r>
    </w:p>
    <w:p w14:paraId="2507770C" w14:textId="77777777" w:rsidR="004801C9" w:rsidRDefault="004801C9" w:rsidP="004801C9">
      <w:pPr>
        <w:pStyle w:val="ListParagraph"/>
        <w:tabs>
          <w:tab w:val="left" w:pos="2268"/>
        </w:tabs>
        <w:ind w:left="2835" w:hanging="2835"/>
        <w:rPr>
          <w:sz w:val="20"/>
          <w:szCs w:val="20"/>
        </w:rPr>
      </w:pPr>
      <w:r>
        <w:rPr>
          <w:i/>
          <w:sz w:val="20"/>
          <w:szCs w:val="20"/>
        </w:rPr>
        <w:tab/>
      </w:r>
      <w:r>
        <w:rPr>
          <w:sz w:val="20"/>
          <w:szCs w:val="20"/>
        </w:rPr>
        <w:t xml:space="preserve">(iv) </w:t>
      </w:r>
      <w:r>
        <w:rPr>
          <w:sz w:val="20"/>
          <w:szCs w:val="20"/>
        </w:rPr>
        <w:tab/>
      </w:r>
      <w:r>
        <w:rPr>
          <w:i/>
          <w:sz w:val="20"/>
          <w:szCs w:val="20"/>
        </w:rPr>
        <w:t>cronobacter (Enterobacter) sakazakii</w:t>
      </w:r>
      <w:r>
        <w:rPr>
          <w:sz w:val="20"/>
          <w:szCs w:val="20"/>
        </w:rPr>
        <w:t>—–absent in 10 g</w:t>
      </w:r>
    </w:p>
    <w:p w14:paraId="2A6ED6A3" w14:textId="77777777" w:rsidR="004801C9" w:rsidRDefault="004801C9" w:rsidP="004801C9">
      <w:pPr>
        <w:pStyle w:val="ListParagraph"/>
        <w:tabs>
          <w:tab w:val="left" w:pos="2268"/>
        </w:tabs>
        <w:ind w:left="2835" w:hanging="2835"/>
        <w:rPr>
          <w:sz w:val="20"/>
          <w:szCs w:val="20"/>
        </w:rPr>
      </w:pPr>
      <w:r>
        <w:rPr>
          <w:i/>
          <w:sz w:val="20"/>
          <w:szCs w:val="20"/>
        </w:rPr>
        <w:tab/>
      </w:r>
      <w:r>
        <w:rPr>
          <w:sz w:val="20"/>
          <w:szCs w:val="20"/>
        </w:rPr>
        <w:t xml:space="preserve">(v) </w:t>
      </w:r>
      <w:r>
        <w:rPr>
          <w:sz w:val="20"/>
          <w:szCs w:val="20"/>
        </w:rPr>
        <w:tab/>
      </w:r>
      <w:r>
        <w:rPr>
          <w:i/>
          <w:sz w:val="20"/>
          <w:szCs w:val="20"/>
        </w:rPr>
        <w:t>listeria monocytogenes</w:t>
      </w:r>
      <w:r>
        <w:rPr>
          <w:sz w:val="20"/>
          <w:szCs w:val="20"/>
        </w:rPr>
        <w:t>—–absent in 25 g</w:t>
      </w:r>
    </w:p>
    <w:p w14:paraId="792CE56E" w14:textId="77777777" w:rsidR="004801C9" w:rsidRDefault="004801C9" w:rsidP="004801C9">
      <w:pPr>
        <w:pStyle w:val="ListParagraph"/>
        <w:tabs>
          <w:tab w:val="left" w:pos="2268"/>
        </w:tabs>
        <w:ind w:left="2835" w:hanging="2835"/>
        <w:rPr>
          <w:sz w:val="20"/>
          <w:szCs w:val="20"/>
        </w:rPr>
      </w:pPr>
      <w:r>
        <w:rPr>
          <w:i/>
          <w:sz w:val="20"/>
          <w:szCs w:val="20"/>
        </w:rPr>
        <w:tab/>
      </w:r>
      <w:r>
        <w:rPr>
          <w:sz w:val="20"/>
          <w:szCs w:val="20"/>
        </w:rPr>
        <w:t xml:space="preserve">(vi) </w:t>
      </w:r>
      <w:r>
        <w:rPr>
          <w:sz w:val="20"/>
          <w:szCs w:val="20"/>
        </w:rPr>
        <w:tab/>
      </w:r>
      <w:r>
        <w:rPr>
          <w:i/>
          <w:sz w:val="20"/>
          <w:szCs w:val="20"/>
        </w:rPr>
        <w:t>bacillus cereus</w:t>
      </w:r>
      <w:r>
        <w:rPr>
          <w:sz w:val="20"/>
          <w:szCs w:val="20"/>
        </w:rPr>
        <w:t>—–not more than 50 cfu/g</w:t>
      </w:r>
    </w:p>
    <w:p w14:paraId="4A6AB255" w14:textId="77777777" w:rsidR="004801C9" w:rsidRDefault="004801C9" w:rsidP="004801C9">
      <w:pPr>
        <w:pStyle w:val="ListParagraph"/>
        <w:tabs>
          <w:tab w:val="left" w:pos="2268"/>
        </w:tabs>
        <w:ind w:left="2835" w:hanging="2835"/>
        <w:rPr>
          <w:sz w:val="20"/>
          <w:szCs w:val="20"/>
        </w:rPr>
      </w:pPr>
      <w:r>
        <w:rPr>
          <w:sz w:val="20"/>
          <w:szCs w:val="20"/>
        </w:rPr>
        <w:tab/>
        <w:t xml:space="preserve">(vii) </w:t>
      </w:r>
      <w:r>
        <w:rPr>
          <w:sz w:val="20"/>
          <w:szCs w:val="20"/>
        </w:rPr>
        <w:tab/>
        <w:t>yeasts—–not more than 10 cfu/g</w:t>
      </w:r>
    </w:p>
    <w:p w14:paraId="7A484D01" w14:textId="77777777" w:rsidR="004801C9" w:rsidRDefault="004801C9" w:rsidP="004801C9">
      <w:pPr>
        <w:pStyle w:val="ListParagraph"/>
        <w:tabs>
          <w:tab w:val="left" w:pos="2268"/>
        </w:tabs>
        <w:ind w:left="2835" w:hanging="2835"/>
        <w:rPr>
          <w:sz w:val="20"/>
          <w:szCs w:val="20"/>
        </w:rPr>
      </w:pPr>
      <w:r>
        <w:rPr>
          <w:sz w:val="20"/>
          <w:szCs w:val="20"/>
        </w:rPr>
        <w:t xml:space="preserve"> </w:t>
      </w:r>
      <w:r>
        <w:rPr>
          <w:sz w:val="20"/>
          <w:szCs w:val="20"/>
        </w:rPr>
        <w:tab/>
        <w:t>(viii)</w:t>
      </w:r>
      <w:r>
        <w:rPr>
          <w:sz w:val="20"/>
          <w:szCs w:val="20"/>
        </w:rPr>
        <w:tab/>
        <w:t>moulds—–not more than 10 cfu/g</w:t>
      </w:r>
    </w:p>
    <w:p w14:paraId="42BF0F4E" w14:textId="77777777" w:rsidR="004801C9" w:rsidRDefault="004801C9" w:rsidP="004801C9">
      <w:pPr>
        <w:pStyle w:val="FSCtPara"/>
        <w:tabs>
          <w:tab w:val="clear" w:pos="1701"/>
          <w:tab w:val="left" w:pos="2268"/>
        </w:tabs>
        <w:spacing w:before="0" w:after="0"/>
        <w:ind w:left="2835" w:hanging="2835"/>
        <w:rPr>
          <w:szCs w:val="20"/>
        </w:rPr>
      </w:pPr>
      <w:r>
        <w:rPr>
          <w:szCs w:val="20"/>
        </w:rPr>
        <w:tab/>
        <w:t>(ix)</w:t>
      </w:r>
      <w:r>
        <w:rPr>
          <w:szCs w:val="20"/>
        </w:rPr>
        <w:tab/>
        <w:t>residual endotoxins—–not more than 10 EU/mg</w:t>
      </w:r>
    </w:p>
    <w:p w14:paraId="36BB0B90" w14:textId="77777777" w:rsidR="004801C9" w:rsidRDefault="004801C9" w:rsidP="004801C9">
      <w:pPr>
        <w:pStyle w:val="FSCtPara"/>
        <w:tabs>
          <w:tab w:val="clear" w:pos="1701"/>
          <w:tab w:val="left" w:pos="2268"/>
        </w:tabs>
        <w:spacing w:before="0" w:after="0"/>
        <w:ind w:left="2835" w:hanging="2835"/>
        <w:rPr>
          <w:szCs w:val="20"/>
        </w:rPr>
      </w:pPr>
    </w:p>
    <w:p w14:paraId="40B76030" w14:textId="77777777" w:rsidR="004801C9" w:rsidRDefault="004801C9" w:rsidP="004801C9">
      <w:pPr>
        <w:pStyle w:val="FSCh5Section"/>
      </w:pPr>
      <w:r>
        <w:t>S3—41</w:t>
      </w:r>
      <w:r>
        <w:tab/>
        <w:t>Specification for lacto-N-neotetraose</w:t>
      </w:r>
    </w:p>
    <w:p w14:paraId="55F1F936" w14:textId="77777777" w:rsidR="004801C9" w:rsidRDefault="004801C9" w:rsidP="004801C9">
      <w:pPr>
        <w:pStyle w:val="FSCtMain"/>
        <w:rPr>
          <w:szCs w:val="20"/>
        </w:rPr>
      </w:pPr>
      <w:r>
        <w:rPr>
          <w:szCs w:val="20"/>
        </w:rPr>
        <w:tab/>
      </w:r>
      <w:r>
        <w:rPr>
          <w:szCs w:val="20"/>
        </w:rPr>
        <w:tab/>
        <w:t>For lacto-N-neotetraose (LNnT), the specifications are the following:</w:t>
      </w:r>
    </w:p>
    <w:p w14:paraId="3EF27C69" w14:textId="77777777" w:rsidR="004801C9" w:rsidRDefault="004801C9" w:rsidP="004801C9">
      <w:pPr>
        <w:pStyle w:val="ListParagraph"/>
        <w:tabs>
          <w:tab w:val="left" w:pos="1701"/>
        </w:tabs>
        <w:spacing w:before="60" w:after="60"/>
        <w:ind w:left="2268" w:hanging="2268"/>
        <w:rPr>
          <w:sz w:val="20"/>
          <w:szCs w:val="20"/>
        </w:rPr>
      </w:pPr>
      <w:r>
        <w:rPr>
          <w:sz w:val="20"/>
          <w:szCs w:val="20"/>
        </w:rPr>
        <w:tab/>
        <w:t xml:space="preserve">(a) </w:t>
      </w:r>
      <w:r>
        <w:rPr>
          <w:sz w:val="20"/>
          <w:szCs w:val="20"/>
        </w:rPr>
        <w:tab/>
        <w:t>chemical name—–β-D-galactopyranosyl-(1→4)-2-acetamido-2-deoxy-β-D-glucopyranosyl-(1→3)-β-D-galactopyranosyl-(1→4)-D-glucopyranose</w:t>
      </w:r>
    </w:p>
    <w:p w14:paraId="779BA248" w14:textId="77777777" w:rsidR="004801C9" w:rsidRDefault="004801C9" w:rsidP="004801C9">
      <w:pPr>
        <w:tabs>
          <w:tab w:val="left" w:pos="1701"/>
        </w:tabs>
        <w:spacing w:before="60" w:after="60"/>
        <w:ind w:left="2268" w:hanging="2268"/>
        <w:rPr>
          <w:sz w:val="20"/>
        </w:rPr>
      </w:pPr>
      <w:r>
        <w:rPr>
          <w:sz w:val="20"/>
        </w:rPr>
        <w:t xml:space="preserve"> </w:t>
      </w:r>
      <w:r>
        <w:rPr>
          <w:sz w:val="20"/>
        </w:rPr>
        <w:tab/>
        <w:t xml:space="preserve">(b) </w:t>
      </w:r>
      <w:r>
        <w:rPr>
          <w:sz w:val="20"/>
        </w:rPr>
        <w:tab/>
        <w:t>chemical formula—–C</w:t>
      </w:r>
      <w:r>
        <w:rPr>
          <w:sz w:val="20"/>
          <w:vertAlign w:val="subscript"/>
        </w:rPr>
        <w:t>26</w:t>
      </w:r>
      <w:r>
        <w:rPr>
          <w:sz w:val="20"/>
        </w:rPr>
        <w:t>H</w:t>
      </w:r>
      <w:r>
        <w:rPr>
          <w:sz w:val="20"/>
          <w:vertAlign w:val="subscript"/>
        </w:rPr>
        <w:t>45</w:t>
      </w:r>
      <w:r>
        <w:rPr>
          <w:sz w:val="20"/>
        </w:rPr>
        <w:t>NO</w:t>
      </w:r>
      <w:r>
        <w:rPr>
          <w:sz w:val="20"/>
          <w:vertAlign w:val="subscript"/>
        </w:rPr>
        <w:t>21</w:t>
      </w:r>
    </w:p>
    <w:p w14:paraId="28AD91B4" w14:textId="77777777" w:rsidR="004801C9" w:rsidRDefault="004801C9" w:rsidP="004801C9">
      <w:pPr>
        <w:tabs>
          <w:tab w:val="left" w:pos="1701"/>
        </w:tabs>
        <w:spacing w:before="60" w:after="60"/>
        <w:ind w:left="2268" w:hanging="2268"/>
        <w:rPr>
          <w:sz w:val="20"/>
        </w:rPr>
      </w:pPr>
      <w:r>
        <w:rPr>
          <w:sz w:val="20"/>
        </w:rPr>
        <w:tab/>
        <w:t xml:space="preserve">(c) </w:t>
      </w:r>
      <w:r>
        <w:rPr>
          <w:sz w:val="20"/>
        </w:rPr>
        <w:tab/>
        <w:t>CAS number—–13007-32-4</w:t>
      </w:r>
    </w:p>
    <w:p w14:paraId="25BB6F73" w14:textId="77777777" w:rsidR="004801C9" w:rsidRDefault="004801C9" w:rsidP="004801C9">
      <w:pPr>
        <w:tabs>
          <w:tab w:val="left" w:pos="1701"/>
        </w:tabs>
        <w:spacing w:before="60" w:after="60"/>
        <w:ind w:left="2268" w:hanging="2268"/>
        <w:rPr>
          <w:sz w:val="20"/>
        </w:rPr>
      </w:pPr>
      <w:r>
        <w:rPr>
          <w:sz w:val="20"/>
        </w:rPr>
        <w:tab/>
        <w:t>(d)</w:t>
      </w:r>
      <w:r>
        <w:rPr>
          <w:sz w:val="20"/>
        </w:rPr>
        <w:tab/>
        <w:t>description—–white to off white powder or agglomerates</w:t>
      </w:r>
    </w:p>
    <w:p w14:paraId="22AF4614" w14:textId="77777777" w:rsidR="004801C9" w:rsidRDefault="004801C9" w:rsidP="004801C9">
      <w:pPr>
        <w:tabs>
          <w:tab w:val="left" w:pos="1701"/>
        </w:tabs>
        <w:spacing w:before="60" w:after="60"/>
        <w:ind w:left="2268" w:hanging="2268"/>
        <w:rPr>
          <w:sz w:val="20"/>
        </w:rPr>
      </w:pPr>
      <w:r>
        <w:rPr>
          <w:sz w:val="20"/>
        </w:rPr>
        <w:tab/>
        <w:t xml:space="preserve">(e) </w:t>
      </w:r>
      <w:r>
        <w:rPr>
          <w:sz w:val="20"/>
        </w:rPr>
        <w:tab/>
        <w:t xml:space="preserve">assay (water free) for sum of </w:t>
      </w:r>
      <w:r>
        <w:rPr>
          <w:rFonts w:cs="Arial"/>
          <w:sz w:val="20"/>
        </w:rPr>
        <w:t>LNnT, lactose, lacto-</w:t>
      </w:r>
      <w:r>
        <w:rPr>
          <w:rFonts w:cs="Arial"/>
          <w:iCs/>
          <w:sz w:val="20"/>
        </w:rPr>
        <w:t>N-</w:t>
      </w:r>
      <w:r>
        <w:rPr>
          <w:rFonts w:cs="Arial"/>
          <w:sz w:val="20"/>
        </w:rPr>
        <w:t xml:space="preserve">triose II, and </w:t>
      </w:r>
      <w:r>
        <w:rPr>
          <w:rFonts w:cs="Arial"/>
          <w:i/>
          <w:iCs/>
          <w:sz w:val="20"/>
        </w:rPr>
        <w:t>para</w:t>
      </w:r>
      <w:r>
        <w:rPr>
          <w:rFonts w:cs="Arial"/>
          <w:sz w:val="20"/>
        </w:rPr>
        <w:t>-lacto-</w:t>
      </w:r>
      <w:r>
        <w:rPr>
          <w:rFonts w:cs="Arial"/>
          <w:iCs/>
          <w:sz w:val="20"/>
        </w:rPr>
        <w:t>N-</w:t>
      </w:r>
      <w:r>
        <w:rPr>
          <w:rFonts w:cs="Arial"/>
          <w:sz w:val="20"/>
        </w:rPr>
        <w:t>hexaose</w:t>
      </w:r>
      <w:r>
        <w:rPr>
          <w:sz w:val="20"/>
        </w:rPr>
        <w:t>—–not less than 95.0%</w:t>
      </w:r>
    </w:p>
    <w:p w14:paraId="392022B1" w14:textId="77777777" w:rsidR="004801C9" w:rsidRDefault="004801C9" w:rsidP="004801C9">
      <w:pPr>
        <w:tabs>
          <w:tab w:val="left" w:pos="1701"/>
        </w:tabs>
        <w:spacing w:before="60" w:after="60"/>
        <w:ind w:left="2268" w:hanging="2268"/>
        <w:rPr>
          <w:sz w:val="20"/>
        </w:rPr>
      </w:pPr>
      <w:r>
        <w:rPr>
          <w:sz w:val="20"/>
        </w:rPr>
        <w:tab/>
        <w:t>(f)</w:t>
      </w:r>
      <w:r>
        <w:rPr>
          <w:sz w:val="20"/>
        </w:rPr>
        <w:tab/>
      </w:r>
      <w:r>
        <w:rPr>
          <w:rFonts w:cs="Arial"/>
          <w:sz w:val="20"/>
        </w:rPr>
        <w:t xml:space="preserve">assay (water free) </w:t>
      </w:r>
      <w:r>
        <w:rPr>
          <w:sz w:val="20"/>
        </w:rPr>
        <w:t>LNnT—–not less than 92.0%</w:t>
      </w:r>
    </w:p>
    <w:p w14:paraId="20DFA756" w14:textId="77777777" w:rsidR="004801C9" w:rsidRDefault="004801C9" w:rsidP="004801C9">
      <w:pPr>
        <w:tabs>
          <w:tab w:val="left" w:pos="1701"/>
        </w:tabs>
        <w:spacing w:before="60" w:after="60"/>
        <w:ind w:left="2268" w:hanging="2268"/>
        <w:rPr>
          <w:sz w:val="20"/>
        </w:rPr>
      </w:pPr>
      <w:r>
        <w:rPr>
          <w:sz w:val="20"/>
        </w:rPr>
        <w:tab/>
        <w:t xml:space="preserve">(g) </w:t>
      </w:r>
      <w:r>
        <w:rPr>
          <w:sz w:val="20"/>
        </w:rPr>
        <w:tab/>
        <w:t>D-lactose—–not more than 3.0%</w:t>
      </w:r>
    </w:p>
    <w:p w14:paraId="3F234936" w14:textId="77777777" w:rsidR="004801C9" w:rsidRDefault="004801C9" w:rsidP="004801C9">
      <w:pPr>
        <w:tabs>
          <w:tab w:val="left" w:pos="1701"/>
        </w:tabs>
        <w:spacing w:before="60" w:after="60"/>
        <w:ind w:left="2268" w:hanging="2268"/>
        <w:rPr>
          <w:sz w:val="20"/>
        </w:rPr>
      </w:pPr>
      <w:r>
        <w:rPr>
          <w:sz w:val="20"/>
        </w:rPr>
        <w:tab/>
        <w:t>(h)</w:t>
      </w:r>
      <w:r>
        <w:rPr>
          <w:sz w:val="20"/>
        </w:rPr>
        <w:tab/>
        <w:t>lacto-N-triose II—–not more than 3.0%</w:t>
      </w:r>
    </w:p>
    <w:p w14:paraId="47BC7495" w14:textId="77777777" w:rsidR="004801C9" w:rsidRDefault="004801C9" w:rsidP="004801C9">
      <w:pPr>
        <w:tabs>
          <w:tab w:val="left" w:pos="1701"/>
        </w:tabs>
        <w:spacing w:before="60" w:after="60"/>
        <w:ind w:left="2268" w:hanging="2268"/>
        <w:rPr>
          <w:sz w:val="20"/>
        </w:rPr>
      </w:pPr>
      <w:r>
        <w:rPr>
          <w:sz w:val="20"/>
        </w:rPr>
        <w:tab/>
        <w:t>(i)</w:t>
      </w:r>
      <w:r>
        <w:rPr>
          <w:sz w:val="20"/>
        </w:rPr>
        <w:tab/>
      </w:r>
      <w:r>
        <w:rPr>
          <w:i/>
          <w:sz w:val="20"/>
        </w:rPr>
        <w:t>para</w:t>
      </w:r>
      <w:r>
        <w:rPr>
          <w:sz w:val="20"/>
        </w:rPr>
        <w:t>-lacto-N-neohexaose—–not more than 3.0%</w:t>
      </w:r>
    </w:p>
    <w:p w14:paraId="23D15B69" w14:textId="77777777" w:rsidR="004801C9" w:rsidRDefault="004801C9" w:rsidP="004801C9">
      <w:pPr>
        <w:tabs>
          <w:tab w:val="left" w:pos="1701"/>
        </w:tabs>
        <w:spacing w:before="60" w:after="60"/>
        <w:ind w:left="2268" w:hanging="2268"/>
        <w:rPr>
          <w:sz w:val="20"/>
        </w:rPr>
      </w:pPr>
      <w:r>
        <w:rPr>
          <w:sz w:val="20"/>
        </w:rPr>
        <w:tab/>
        <w:t>(j)</w:t>
      </w:r>
      <w:r>
        <w:rPr>
          <w:sz w:val="20"/>
        </w:rPr>
        <w:tab/>
        <w:t>LNnT fructose isomer—–not more than 1.0%</w:t>
      </w:r>
    </w:p>
    <w:p w14:paraId="31AC9879" w14:textId="77777777" w:rsidR="004801C9" w:rsidRDefault="004801C9" w:rsidP="004801C9">
      <w:pPr>
        <w:tabs>
          <w:tab w:val="left" w:pos="1701"/>
        </w:tabs>
        <w:spacing w:before="60" w:after="60"/>
        <w:ind w:left="2268" w:hanging="2268"/>
        <w:rPr>
          <w:sz w:val="20"/>
        </w:rPr>
      </w:pPr>
      <w:r>
        <w:rPr>
          <w:sz w:val="20"/>
        </w:rPr>
        <w:tab/>
        <w:t xml:space="preserve">(k) </w:t>
      </w:r>
      <w:r>
        <w:rPr>
          <w:sz w:val="20"/>
        </w:rPr>
        <w:tab/>
        <w:t>pH (20°C, 5% solution) —–4.0 to 7.0</w:t>
      </w:r>
    </w:p>
    <w:p w14:paraId="45621ED1" w14:textId="77777777" w:rsidR="004801C9" w:rsidRDefault="004801C9" w:rsidP="004801C9">
      <w:pPr>
        <w:tabs>
          <w:tab w:val="left" w:pos="1701"/>
        </w:tabs>
        <w:spacing w:before="60" w:after="60"/>
        <w:ind w:left="2268" w:hanging="2268"/>
        <w:rPr>
          <w:sz w:val="20"/>
        </w:rPr>
      </w:pPr>
      <w:r>
        <w:rPr>
          <w:sz w:val="20"/>
        </w:rPr>
        <w:tab/>
        <w:t>(l)</w:t>
      </w:r>
      <w:r>
        <w:rPr>
          <w:sz w:val="20"/>
        </w:rPr>
        <w:tab/>
        <w:t>water—–not more than 9.0%</w:t>
      </w:r>
    </w:p>
    <w:p w14:paraId="60450EFE" w14:textId="77777777" w:rsidR="004801C9" w:rsidRDefault="004801C9" w:rsidP="004801C9">
      <w:pPr>
        <w:tabs>
          <w:tab w:val="left" w:pos="1701"/>
        </w:tabs>
        <w:spacing w:before="60" w:after="60"/>
        <w:ind w:left="2268" w:hanging="2268"/>
        <w:rPr>
          <w:sz w:val="20"/>
        </w:rPr>
      </w:pPr>
      <w:r>
        <w:rPr>
          <w:sz w:val="20"/>
        </w:rPr>
        <w:tab/>
        <w:t xml:space="preserve">(m) </w:t>
      </w:r>
      <w:r>
        <w:rPr>
          <w:sz w:val="20"/>
        </w:rPr>
        <w:tab/>
        <w:t>ash, sulphated—–not more than 1.5%</w:t>
      </w:r>
    </w:p>
    <w:p w14:paraId="545D02A9" w14:textId="77777777" w:rsidR="004801C9" w:rsidRDefault="004801C9" w:rsidP="004801C9">
      <w:pPr>
        <w:tabs>
          <w:tab w:val="left" w:pos="1701"/>
        </w:tabs>
        <w:spacing w:before="60" w:after="60"/>
        <w:ind w:left="2268" w:hanging="2268"/>
        <w:rPr>
          <w:sz w:val="20"/>
        </w:rPr>
      </w:pPr>
      <w:r>
        <w:rPr>
          <w:sz w:val="20"/>
        </w:rPr>
        <w:tab/>
        <w:t>(n)</w:t>
      </w:r>
      <w:r>
        <w:rPr>
          <w:sz w:val="20"/>
        </w:rPr>
        <w:tab/>
        <w:t>methanol—–not more than 100 mg/kg</w:t>
      </w:r>
    </w:p>
    <w:p w14:paraId="0F3BE5D0" w14:textId="77777777" w:rsidR="004801C9" w:rsidRDefault="004801C9" w:rsidP="004801C9">
      <w:pPr>
        <w:tabs>
          <w:tab w:val="left" w:pos="1701"/>
        </w:tabs>
        <w:spacing w:before="60" w:after="60"/>
        <w:ind w:left="2268" w:hanging="2268"/>
        <w:rPr>
          <w:sz w:val="20"/>
        </w:rPr>
      </w:pPr>
      <w:r>
        <w:rPr>
          <w:sz w:val="20"/>
        </w:rPr>
        <w:tab/>
        <w:t>(o)</w:t>
      </w:r>
      <w:r>
        <w:rPr>
          <w:sz w:val="20"/>
        </w:rPr>
        <w:tab/>
        <w:t>residual proteins—–not more than 0.01%</w:t>
      </w:r>
    </w:p>
    <w:p w14:paraId="07EC1CEE" w14:textId="77777777" w:rsidR="004801C9" w:rsidRDefault="004801C9" w:rsidP="004801C9">
      <w:pPr>
        <w:tabs>
          <w:tab w:val="left" w:pos="1701"/>
        </w:tabs>
        <w:spacing w:before="60" w:after="60"/>
        <w:ind w:left="2268" w:hanging="2268"/>
        <w:rPr>
          <w:sz w:val="20"/>
        </w:rPr>
      </w:pPr>
      <w:r>
        <w:rPr>
          <w:sz w:val="20"/>
        </w:rPr>
        <w:tab/>
        <w:t>(p)</w:t>
      </w:r>
      <w:r>
        <w:rPr>
          <w:sz w:val="20"/>
        </w:rPr>
        <w:tab/>
        <w:t>lead—–not more than 0.1 mg/kg</w:t>
      </w:r>
    </w:p>
    <w:p w14:paraId="081E8B10" w14:textId="77777777" w:rsidR="004801C9" w:rsidRDefault="004801C9" w:rsidP="004801C9">
      <w:pPr>
        <w:tabs>
          <w:tab w:val="left" w:pos="1701"/>
        </w:tabs>
        <w:spacing w:before="60" w:after="60"/>
        <w:ind w:left="2268" w:hanging="2268"/>
        <w:rPr>
          <w:sz w:val="20"/>
        </w:rPr>
      </w:pPr>
      <w:r>
        <w:rPr>
          <w:sz w:val="20"/>
        </w:rPr>
        <w:tab/>
        <w:t>(q)</w:t>
      </w:r>
      <w:r>
        <w:rPr>
          <w:sz w:val="20"/>
        </w:rPr>
        <w:tab/>
        <w:t>microbiological:</w:t>
      </w:r>
    </w:p>
    <w:p w14:paraId="16C9ABEC" w14:textId="77777777" w:rsidR="004801C9" w:rsidRDefault="004801C9" w:rsidP="004801C9">
      <w:pPr>
        <w:tabs>
          <w:tab w:val="left" w:pos="2268"/>
        </w:tabs>
        <w:ind w:left="2835" w:hanging="2835"/>
        <w:rPr>
          <w:sz w:val="20"/>
        </w:rPr>
      </w:pPr>
      <w:r>
        <w:rPr>
          <w:i/>
          <w:sz w:val="20"/>
        </w:rPr>
        <w:tab/>
      </w:r>
      <w:r>
        <w:rPr>
          <w:sz w:val="20"/>
        </w:rPr>
        <w:t xml:space="preserve">(i) </w:t>
      </w:r>
      <w:r>
        <w:rPr>
          <w:sz w:val="20"/>
        </w:rPr>
        <w:tab/>
      </w:r>
      <w:r>
        <w:rPr>
          <w:i/>
          <w:sz w:val="20"/>
        </w:rPr>
        <w:t>salmonella</w:t>
      </w:r>
      <w:r>
        <w:rPr>
          <w:sz w:val="20"/>
        </w:rPr>
        <w:t>—–absent in 25 g</w:t>
      </w:r>
    </w:p>
    <w:p w14:paraId="51D53EAC" w14:textId="77777777" w:rsidR="004801C9" w:rsidRDefault="004801C9" w:rsidP="004801C9">
      <w:pPr>
        <w:tabs>
          <w:tab w:val="left" w:pos="2268"/>
        </w:tabs>
        <w:ind w:left="2835" w:hanging="2835"/>
        <w:rPr>
          <w:sz w:val="20"/>
        </w:rPr>
      </w:pPr>
      <w:r>
        <w:rPr>
          <w:i/>
          <w:sz w:val="20"/>
        </w:rPr>
        <w:tab/>
      </w:r>
      <w:r>
        <w:rPr>
          <w:sz w:val="20"/>
        </w:rPr>
        <w:t xml:space="preserve">(ii) </w:t>
      </w:r>
      <w:r>
        <w:rPr>
          <w:sz w:val="20"/>
        </w:rPr>
        <w:tab/>
        <w:t>total plate count—–not more than 500 cfu/g</w:t>
      </w:r>
    </w:p>
    <w:p w14:paraId="7CD22053" w14:textId="77777777" w:rsidR="004801C9" w:rsidRDefault="004801C9" w:rsidP="004801C9">
      <w:pPr>
        <w:tabs>
          <w:tab w:val="left" w:pos="2268"/>
        </w:tabs>
        <w:ind w:left="2835" w:hanging="2835"/>
        <w:rPr>
          <w:sz w:val="20"/>
        </w:rPr>
      </w:pPr>
      <w:r>
        <w:rPr>
          <w:i/>
          <w:sz w:val="20"/>
        </w:rPr>
        <w:tab/>
      </w:r>
      <w:r>
        <w:rPr>
          <w:sz w:val="20"/>
        </w:rPr>
        <w:t>(iii)</w:t>
      </w:r>
      <w:r>
        <w:rPr>
          <w:sz w:val="20"/>
        </w:rPr>
        <w:tab/>
        <w:t>enterobacteriaceae—–absent in 10 g</w:t>
      </w:r>
    </w:p>
    <w:p w14:paraId="242F1A2C" w14:textId="77777777" w:rsidR="004801C9" w:rsidRDefault="004801C9" w:rsidP="004801C9">
      <w:pPr>
        <w:tabs>
          <w:tab w:val="left" w:pos="2268"/>
        </w:tabs>
        <w:ind w:left="2835" w:hanging="2835"/>
        <w:rPr>
          <w:sz w:val="20"/>
        </w:rPr>
      </w:pPr>
      <w:r>
        <w:rPr>
          <w:i/>
          <w:sz w:val="20"/>
        </w:rPr>
        <w:tab/>
      </w:r>
      <w:r>
        <w:rPr>
          <w:sz w:val="20"/>
        </w:rPr>
        <w:t>(iv)</w:t>
      </w:r>
      <w:r>
        <w:rPr>
          <w:sz w:val="20"/>
        </w:rPr>
        <w:tab/>
      </w:r>
      <w:r>
        <w:rPr>
          <w:i/>
          <w:sz w:val="20"/>
        </w:rPr>
        <w:t>cronobacter (Enterobacter) sakazakii</w:t>
      </w:r>
      <w:r>
        <w:rPr>
          <w:sz w:val="20"/>
        </w:rPr>
        <w:t>—–absent in 10 g</w:t>
      </w:r>
    </w:p>
    <w:p w14:paraId="3E0BD3F0" w14:textId="77777777" w:rsidR="004801C9" w:rsidRDefault="004801C9" w:rsidP="004801C9">
      <w:pPr>
        <w:tabs>
          <w:tab w:val="left" w:pos="2268"/>
        </w:tabs>
        <w:ind w:left="2835" w:hanging="2835"/>
        <w:rPr>
          <w:sz w:val="20"/>
        </w:rPr>
      </w:pPr>
      <w:r>
        <w:rPr>
          <w:i/>
          <w:sz w:val="20"/>
        </w:rPr>
        <w:tab/>
      </w:r>
      <w:r>
        <w:rPr>
          <w:sz w:val="20"/>
        </w:rPr>
        <w:t>(v)</w:t>
      </w:r>
      <w:r>
        <w:rPr>
          <w:sz w:val="20"/>
        </w:rPr>
        <w:tab/>
      </w:r>
      <w:r>
        <w:rPr>
          <w:i/>
          <w:sz w:val="20"/>
        </w:rPr>
        <w:t>listeria monocytogenes</w:t>
      </w:r>
      <w:r>
        <w:rPr>
          <w:sz w:val="20"/>
        </w:rPr>
        <w:t>—–absent in 25 g</w:t>
      </w:r>
    </w:p>
    <w:p w14:paraId="66CE82BD" w14:textId="77777777" w:rsidR="004801C9" w:rsidRDefault="004801C9" w:rsidP="004801C9">
      <w:pPr>
        <w:tabs>
          <w:tab w:val="left" w:pos="2268"/>
        </w:tabs>
        <w:ind w:left="2835" w:hanging="2835"/>
        <w:rPr>
          <w:sz w:val="20"/>
        </w:rPr>
      </w:pPr>
      <w:r>
        <w:rPr>
          <w:i/>
          <w:sz w:val="20"/>
        </w:rPr>
        <w:tab/>
      </w:r>
      <w:r>
        <w:rPr>
          <w:sz w:val="20"/>
        </w:rPr>
        <w:t>(vi)</w:t>
      </w:r>
      <w:r>
        <w:rPr>
          <w:sz w:val="20"/>
        </w:rPr>
        <w:tab/>
      </w:r>
      <w:r>
        <w:rPr>
          <w:i/>
          <w:sz w:val="20"/>
        </w:rPr>
        <w:t>bacillus cereus</w:t>
      </w:r>
      <w:r>
        <w:rPr>
          <w:sz w:val="20"/>
        </w:rPr>
        <w:t>—–not more than 50 cfu/g</w:t>
      </w:r>
    </w:p>
    <w:p w14:paraId="1B7A83B9" w14:textId="77777777" w:rsidR="004801C9" w:rsidRDefault="004801C9" w:rsidP="004801C9">
      <w:pPr>
        <w:tabs>
          <w:tab w:val="left" w:pos="2268"/>
        </w:tabs>
        <w:ind w:left="2835" w:hanging="2835"/>
        <w:rPr>
          <w:sz w:val="20"/>
        </w:rPr>
      </w:pPr>
      <w:r>
        <w:rPr>
          <w:i/>
          <w:sz w:val="20"/>
        </w:rPr>
        <w:tab/>
      </w:r>
      <w:r>
        <w:rPr>
          <w:sz w:val="20"/>
        </w:rPr>
        <w:t>(vii)</w:t>
      </w:r>
      <w:r>
        <w:rPr>
          <w:sz w:val="20"/>
        </w:rPr>
        <w:tab/>
        <w:t>yeasts—–not more than 10 cfu/g</w:t>
      </w:r>
    </w:p>
    <w:p w14:paraId="461C1BBC" w14:textId="77777777" w:rsidR="004801C9" w:rsidRDefault="004801C9" w:rsidP="004801C9">
      <w:pPr>
        <w:tabs>
          <w:tab w:val="left" w:pos="2268"/>
        </w:tabs>
        <w:ind w:left="2835" w:hanging="2835"/>
        <w:rPr>
          <w:sz w:val="20"/>
        </w:rPr>
      </w:pPr>
      <w:r>
        <w:rPr>
          <w:i/>
          <w:sz w:val="20"/>
        </w:rPr>
        <w:tab/>
      </w:r>
      <w:r>
        <w:rPr>
          <w:sz w:val="20"/>
        </w:rPr>
        <w:t>(viii)</w:t>
      </w:r>
      <w:r>
        <w:rPr>
          <w:sz w:val="20"/>
        </w:rPr>
        <w:tab/>
        <w:t>moulds—–not more than 10 cfu/g</w:t>
      </w:r>
    </w:p>
    <w:p w14:paraId="3F60D8BC" w14:textId="77777777" w:rsidR="004801C9" w:rsidRDefault="004801C9" w:rsidP="004801C9">
      <w:pPr>
        <w:tabs>
          <w:tab w:val="left" w:pos="2268"/>
        </w:tabs>
        <w:ind w:left="2835" w:hanging="2835"/>
        <w:rPr>
          <w:sz w:val="20"/>
        </w:rPr>
      </w:pPr>
      <w:r>
        <w:rPr>
          <w:i/>
          <w:sz w:val="20"/>
        </w:rPr>
        <w:tab/>
      </w:r>
      <w:r>
        <w:rPr>
          <w:sz w:val="20"/>
        </w:rPr>
        <w:t>(ix)</w:t>
      </w:r>
      <w:r>
        <w:rPr>
          <w:sz w:val="20"/>
        </w:rPr>
        <w:tab/>
        <w:t xml:space="preserve">residual endotoxins—–not more than 10 EU/mg </w:t>
      </w:r>
    </w:p>
    <w:p w14:paraId="01676B2F" w14:textId="77777777" w:rsidR="004801C9" w:rsidRDefault="004801C9" w:rsidP="004801C9"/>
    <w:p w14:paraId="7787971A" w14:textId="77777777" w:rsidR="004801C9" w:rsidRDefault="004801C9" w:rsidP="004801C9">
      <w:pPr>
        <w:pStyle w:val="FSCDraftingitem"/>
        <w:rPr>
          <w:lang w:bidi="en-US"/>
        </w:rPr>
      </w:pPr>
      <w:r>
        <w:rPr>
          <w:b/>
          <w:lang w:bidi="en-US"/>
        </w:rPr>
        <w:t>[5]</w:t>
      </w:r>
      <w:r>
        <w:rPr>
          <w:b/>
          <w:lang w:bidi="en-US"/>
        </w:rPr>
        <w:tab/>
        <w:t>Schedule 26</w:t>
      </w:r>
      <w:r>
        <w:rPr>
          <w:lang w:bidi="en-US"/>
        </w:rPr>
        <w:t xml:space="preserve"> is varied by</w:t>
      </w:r>
    </w:p>
    <w:p w14:paraId="27BCC705" w14:textId="77777777" w:rsidR="004801C9" w:rsidRDefault="004801C9" w:rsidP="004801C9">
      <w:pPr>
        <w:pStyle w:val="FSCDraftingitem"/>
        <w:rPr>
          <w:lang w:bidi="en-US"/>
        </w:rPr>
      </w:pPr>
      <w:r>
        <w:rPr>
          <w:lang w:bidi="en-US"/>
        </w:rPr>
        <w:t>[5.1]</w:t>
      </w:r>
      <w:r>
        <w:rPr>
          <w:lang w:bidi="en-US"/>
        </w:rPr>
        <w:tab/>
        <w:t>omitting subsections S</w:t>
      </w:r>
      <w:r>
        <w:t>26—3(1), (2), (2A), and (3), substituting</w:t>
      </w:r>
    </w:p>
    <w:p w14:paraId="102BD287" w14:textId="77777777" w:rsidR="004801C9" w:rsidRDefault="004801C9" w:rsidP="004801C9">
      <w:pPr>
        <w:pStyle w:val="FSCtMain"/>
      </w:pPr>
      <w:r>
        <w:tab/>
        <w:t>(1)</w:t>
      </w:r>
      <w:r>
        <w:tab/>
        <w:t>The table to subsection (4) and the table to subsection (7) list permitted food produced using gene technology.</w:t>
      </w:r>
    </w:p>
    <w:p w14:paraId="7C3831FF" w14:textId="77777777" w:rsidR="004801C9" w:rsidRDefault="004801C9" w:rsidP="004801C9">
      <w:pPr>
        <w:pStyle w:val="FSCtMain"/>
      </w:pPr>
      <w:r>
        <w:tab/>
        <w:t>(2)</w:t>
      </w:r>
      <w:r>
        <w:tab/>
        <w:t>Items 1(g), 2(m), 7(e), (g) and (h), and 9(a) of the table to subsection (4) are subject to the condition that their labelling must comply with section 1.5.2—4.</w:t>
      </w:r>
    </w:p>
    <w:p w14:paraId="12E3033E" w14:textId="77777777" w:rsidR="004801C9" w:rsidRDefault="004801C9" w:rsidP="004801C9">
      <w:pPr>
        <w:pStyle w:val="FSCnMain"/>
      </w:pPr>
      <w:r>
        <w:tab/>
      </w:r>
      <w:r>
        <w:rPr>
          <w:b/>
          <w:i/>
        </w:rPr>
        <w:t>Note</w:t>
      </w:r>
      <w:r>
        <w:tab/>
        <w:t>That section requires the statement ‘genetically modified’.</w:t>
      </w:r>
    </w:p>
    <w:p w14:paraId="2A0021E3" w14:textId="77777777" w:rsidR="004801C9" w:rsidRDefault="004801C9" w:rsidP="004801C9">
      <w:pPr>
        <w:pStyle w:val="FSCnMain"/>
        <w:ind w:left="1701" w:hanging="567"/>
        <w:rPr>
          <w:sz w:val="20"/>
          <w:szCs w:val="20"/>
        </w:rPr>
      </w:pPr>
      <w:r>
        <w:rPr>
          <w:sz w:val="20"/>
          <w:szCs w:val="20"/>
        </w:rPr>
        <w:t>(2A)</w:t>
      </w:r>
      <w:r>
        <w:t xml:space="preserve"> </w:t>
      </w:r>
      <w:r>
        <w:tab/>
      </w:r>
      <w:r>
        <w:rPr>
          <w:sz w:val="20"/>
          <w:szCs w:val="20"/>
        </w:rPr>
        <w:t>Products containing beta-carotene from item 6(b) of the table to subsection (4) are subject to the condition that their labelling must comply with section 1.5.2—4.</w:t>
      </w:r>
    </w:p>
    <w:p w14:paraId="6220DC6D" w14:textId="77777777" w:rsidR="004801C9" w:rsidRDefault="004801C9" w:rsidP="004801C9">
      <w:pPr>
        <w:pStyle w:val="FSCtMain"/>
      </w:pPr>
      <w:r>
        <w:tab/>
        <w:t>(3)</w:t>
      </w:r>
      <w:r>
        <w:tab/>
        <w:t>Item 2(m) of the table to subsection (4) is also subject to the condition that, for the labelling provisions, unless the protein content has been removed as part of a refining process, the information relating to *foods produced using gene technology includes a statement to the effect that the high lysine corn line LY038 has been genetically modified to contain increased levels of lysine.</w:t>
      </w:r>
    </w:p>
    <w:p w14:paraId="21B52F12" w14:textId="77777777" w:rsidR="004801C9" w:rsidRDefault="004801C9" w:rsidP="004801C9">
      <w:pPr>
        <w:pStyle w:val="FSCDraftingitem"/>
        <w:rPr>
          <w:lang w:bidi="en-US"/>
        </w:rPr>
      </w:pPr>
      <w:r>
        <w:rPr>
          <w:lang w:bidi="en-US"/>
        </w:rPr>
        <w:t>[5.2]</w:t>
      </w:r>
      <w:r>
        <w:rPr>
          <w:lang w:bidi="en-US"/>
        </w:rPr>
        <w:tab/>
        <w:t>omitting the words ‘gene technology’ from the heading to the table to subsection (4), substituting the words’ ‘gene technology of plant origin’.</w:t>
      </w:r>
    </w:p>
    <w:p w14:paraId="3EDB877A" w14:textId="77777777" w:rsidR="004801C9" w:rsidRDefault="004801C9" w:rsidP="004801C9">
      <w:pPr>
        <w:pStyle w:val="FSCDraftingitem"/>
        <w:rPr>
          <w:lang w:bidi="en-US"/>
        </w:rPr>
      </w:pPr>
      <w:r>
        <w:rPr>
          <w:lang w:bidi="en-US"/>
        </w:rPr>
        <w:t>[5.3]</w:t>
      </w:r>
      <w:r>
        <w:rPr>
          <w:lang w:bidi="en-US"/>
        </w:rPr>
        <w:tab/>
        <w:t xml:space="preserve">inserting after the </w:t>
      </w:r>
      <w:r>
        <w:t>table to subsection (4)</w:t>
      </w:r>
    </w:p>
    <w:p w14:paraId="06E9272B" w14:textId="77777777" w:rsidR="004801C9" w:rsidRDefault="004801C9" w:rsidP="004801C9">
      <w:pPr>
        <w:pStyle w:val="FSCtMain"/>
      </w:pPr>
      <w:r>
        <w:tab/>
        <w:t>(5)</w:t>
      </w:r>
      <w:r>
        <w:tab/>
        <w:t>A food listed in the table to subsection (7) must comply with any corresponding conditions listed in that table.</w:t>
      </w:r>
    </w:p>
    <w:p w14:paraId="399059EA" w14:textId="77777777" w:rsidR="004801C9" w:rsidRDefault="004801C9" w:rsidP="004801C9">
      <w:pPr>
        <w:pStyle w:val="FSCtMain"/>
      </w:pPr>
      <w:r>
        <w:tab/>
        <w:t>(6)</w:t>
      </w:r>
      <w:r>
        <w:tab/>
        <w:t>A source listed in the table to subsection (7) may contain additional copies of genes from the same strain.</w:t>
      </w:r>
    </w:p>
    <w:p w14:paraId="71D62FCF" w14:textId="77777777" w:rsidR="004801C9" w:rsidRDefault="004801C9" w:rsidP="004801C9">
      <w:pPr>
        <w:pStyle w:val="FSCtMain"/>
      </w:pPr>
      <w:r>
        <w:tab/>
        <w:t>(7)</w:t>
      </w:r>
      <w:r>
        <w:tab/>
        <w:t>The table for this subsection is:</w:t>
      </w:r>
    </w:p>
    <w:p w14:paraId="40F5152E" w14:textId="77777777" w:rsidR="004801C9" w:rsidRDefault="004801C9" w:rsidP="004801C9">
      <w:pPr>
        <w:shd w:val="clear" w:color="auto" w:fill="FFFFFF"/>
        <w:spacing w:after="120"/>
        <w:ind w:left="993"/>
        <w:jc w:val="center"/>
        <w:rPr>
          <w:rFonts w:cs="Arial"/>
          <w:b/>
          <w:sz w:val="19"/>
          <w:szCs w:val="19"/>
          <w:lang w:val="en-US" w:eastAsia="en-GB"/>
        </w:rPr>
      </w:pPr>
      <w:r>
        <w:rPr>
          <w:rFonts w:cs="Arial"/>
          <w:b/>
          <w:sz w:val="19"/>
          <w:szCs w:val="19"/>
          <w:lang w:eastAsia="en-GB"/>
        </w:rPr>
        <w:t xml:space="preserve">Food produced using gene technology of microbial origin </w:t>
      </w:r>
    </w:p>
    <w:tbl>
      <w:tblPr>
        <w:tblW w:w="10065" w:type="dxa"/>
        <w:tblLayout w:type="fixed"/>
        <w:tblCellMar>
          <w:left w:w="0" w:type="dxa"/>
          <w:right w:w="0" w:type="dxa"/>
        </w:tblCellMar>
        <w:tblLook w:val="04A0" w:firstRow="1" w:lastRow="0" w:firstColumn="1" w:lastColumn="0" w:noHBand="0" w:noVBand="1"/>
      </w:tblPr>
      <w:tblGrid>
        <w:gridCol w:w="284"/>
        <w:gridCol w:w="2126"/>
        <w:gridCol w:w="2693"/>
        <w:gridCol w:w="993"/>
        <w:gridCol w:w="3969"/>
      </w:tblGrid>
      <w:tr w:rsidR="004801C9" w14:paraId="109A7F00" w14:textId="77777777" w:rsidTr="00700554">
        <w:trPr>
          <w:cantSplit/>
          <w:trHeight w:val="283"/>
          <w:tblHeader/>
        </w:trPr>
        <w:tc>
          <w:tcPr>
            <w:tcW w:w="2410" w:type="dxa"/>
            <w:gridSpan w:val="2"/>
            <w:tcBorders>
              <w:top w:val="single" w:sz="8" w:space="0" w:color="auto"/>
              <w:left w:val="nil"/>
              <w:bottom w:val="single" w:sz="8" w:space="0" w:color="auto"/>
              <w:right w:val="nil"/>
            </w:tcBorders>
            <w:tcMar>
              <w:top w:w="0" w:type="dxa"/>
              <w:left w:w="108" w:type="dxa"/>
              <w:bottom w:w="0" w:type="dxa"/>
              <w:right w:w="108" w:type="dxa"/>
            </w:tcMar>
            <w:vAlign w:val="center"/>
            <w:hideMark/>
          </w:tcPr>
          <w:p w14:paraId="153A5EA7" w14:textId="77777777" w:rsidR="004801C9" w:rsidRDefault="004801C9">
            <w:pPr>
              <w:spacing w:before="100" w:beforeAutospacing="1" w:after="100" w:afterAutospacing="1"/>
              <w:rPr>
                <w:rFonts w:cs="Arial"/>
                <w:b/>
                <w:i/>
                <w:sz w:val="18"/>
                <w:szCs w:val="19"/>
                <w:lang w:eastAsia="en-GB"/>
              </w:rPr>
            </w:pPr>
            <w:r>
              <w:rPr>
                <w:rFonts w:cs="Arial"/>
                <w:b/>
                <w:i/>
                <w:sz w:val="18"/>
                <w:szCs w:val="19"/>
                <w:lang w:eastAsia="en-GB"/>
              </w:rPr>
              <w:t>Substance</w:t>
            </w:r>
          </w:p>
        </w:tc>
        <w:tc>
          <w:tcPr>
            <w:tcW w:w="3686" w:type="dxa"/>
            <w:gridSpan w:val="2"/>
            <w:tcBorders>
              <w:top w:val="single" w:sz="8" w:space="0" w:color="auto"/>
              <w:left w:val="nil"/>
              <w:bottom w:val="single" w:sz="8" w:space="0" w:color="auto"/>
              <w:right w:val="nil"/>
            </w:tcBorders>
            <w:vAlign w:val="center"/>
            <w:hideMark/>
          </w:tcPr>
          <w:p w14:paraId="7B4DF771" w14:textId="77777777" w:rsidR="004801C9" w:rsidRDefault="004801C9" w:rsidP="00700554">
            <w:pPr>
              <w:spacing w:before="100" w:beforeAutospacing="1" w:after="100" w:afterAutospacing="1"/>
              <w:ind w:left="142"/>
              <w:rPr>
                <w:rFonts w:cs="Arial"/>
                <w:b/>
                <w:i/>
                <w:sz w:val="18"/>
                <w:szCs w:val="19"/>
                <w:lang w:eastAsia="en-GB"/>
              </w:rPr>
            </w:pPr>
            <w:r>
              <w:rPr>
                <w:rFonts w:cs="Arial"/>
                <w:b/>
                <w:i/>
                <w:sz w:val="18"/>
                <w:szCs w:val="19"/>
                <w:lang w:eastAsia="en-GB"/>
              </w:rPr>
              <w:t>Source</w:t>
            </w:r>
          </w:p>
        </w:tc>
        <w:tc>
          <w:tcPr>
            <w:tcW w:w="3969" w:type="dxa"/>
            <w:tcBorders>
              <w:top w:val="single" w:sz="8" w:space="0" w:color="auto"/>
              <w:left w:val="nil"/>
              <w:bottom w:val="single" w:sz="8" w:space="0" w:color="auto"/>
              <w:right w:val="nil"/>
            </w:tcBorders>
            <w:hideMark/>
          </w:tcPr>
          <w:p w14:paraId="791AB4E4" w14:textId="77777777" w:rsidR="004801C9" w:rsidRDefault="004801C9" w:rsidP="00700554">
            <w:pPr>
              <w:spacing w:before="100" w:beforeAutospacing="1" w:after="100" w:afterAutospacing="1"/>
              <w:ind w:left="142"/>
              <w:rPr>
                <w:rFonts w:cs="Arial"/>
                <w:b/>
                <w:i/>
                <w:sz w:val="18"/>
                <w:szCs w:val="19"/>
                <w:lang w:eastAsia="en-GB"/>
              </w:rPr>
            </w:pPr>
            <w:r>
              <w:rPr>
                <w:rFonts w:cs="Arial"/>
                <w:b/>
                <w:i/>
                <w:sz w:val="18"/>
                <w:szCs w:val="19"/>
                <w:lang w:eastAsia="en-GB"/>
              </w:rPr>
              <w:t>Conditions of use</w:t>
            </w:r>
          </w:p>
        </w:tc>
      </w:tr>
      <w:tr w:rsidR="004801C9" w14:paraId="5566567B" w14:textId="77777777" w:rsidTr="00700554">
        <w:trPr>
          <w:cantSplit/>
          <w:trHeight w:val="329"/>
        </w:trPr>
        <w:tc>
          <w:tcPr>
            <w:tcW w:w="284" w:type="dxa"/>
            <w:tcBorders>
              <w:top w:val="nil"/>
              <w:left w:val="nil"/>
              <w:bottom w:val="single" w:sz="4" w:space="0" w:color="auto"/>
              <w:right w:val="nil"/>
            </w:tcBorders>
            <w:tcMar>
              <w:top w:w="0" w:type="dxa"/>
              <w:left w:w="108" w:type="dxa"/>
              <w:bottom w:w="0" w:type="dxa"/>
              <w:right w:w="108" w:type="dxa"/>
            </w:tcMar>
            <w:hideMark/>
          </w:tcPr>
          <w:p w14:paraId="1206D355" w14:textId="77777777" w:rsidR="004801C9" w:rsidRDefault="004801C9">
            <w:pPr>
              <w:spacing w:before="60" w:after="60"/>
              <w:rPr>
                <w:rFonts w:cs="Arial"/>
                <w:sz w:val="18"/>
                <w:szCs w:val="18"/>
                <w:lang w:eastAsia="en-GB"/>
              </w:rPr>
            </w:pPr>
            <w:r>
              <w:rPr>
                <w:rFonts w:cs="Arial"/>
                <w:b/>
                <w:bCs/>
                <w:sz w:val="18"/>
                <w:szCs w:val="18"/>
                <w:lang w:eastAsia="en-GB"/>
              </w:rPr>
              <w:t>1</w:t>
            </w:r>
          </w:p>
        </w:tc>
        <w:tc>
          <w:tcPr>
            <w:tcW w:w="2126" w:type="dxa"/>
            <w:tcBorders>
              <w:top w:val="nil"/>
              <w:left w:val="nil"/>
              <w:bottom w:val="single" w:sz="4" w:space="0" w:color="auto"/>
              <w:right w:val="nil"/>
            </w:tcBorders>
            <w:tcMar>
              <w:top w:w="0" w:type="dxa"/>
              <w:left w:w="108" w:type="dxa"/>
              <w:bottom w:w="0" w:type="dxa"/>
              <w:right w:w="108" w:type="dxa"/>
            </w:tcMar>
            <w:hideMark/>
          </w:tcPr>
          <w:p w14:paraId="2AE61D6D" w14:textId="77777777" w:rsidR="004801C9" w:rsidRDefault="004801C9">
            <w:pPr>
              <w:spacing w:before="60" w:after="60"/>
              <w:rPr>
                <w:rFonts w:cs="Arial"/>
                <w:sz w:val="18"/>
                <w:szCs w:val="18"/>
                <w:lang w:eastAsia="en-GB"/>
              </w:rPr>
            </w:pPr>
            <w:r>
              <w:rPr>
                <w:rFonts w:cs="Arial"/>
                <w:b/>
                <w:bCs/>
                <w:sz w:val="18"/>
                <w:szCs w:val="18"/>
                <w:lang w:eastAsia="en-GB"/>
              </w:rPr>
              <w:t>2′-O-fucosyllactose</w:t>
            </w:r>
          </w:p>
        </w:tc>
        <w:tc>
          <w:tcPr>
            <w:tcW w:w="2693" w:type="dxa"/>
            <w:tcBorders>
              <w:top w:val="nil"/>
              <w:left w:val="nil"/>
              <w:bottom w:val="single" w:sz="4" w:space="0" w:color="auto"/>
              <w:right w:val="nil"/>
            </w:tcBorders>
            <w:hideMark/>
          </w:tcPr>
          <w:p w14:paraId="5903A541" w14:textId="77777777" w:rsidR="004801C9" w:rsidRDefault="004801C9" w:rsidP="004801C9">
            <w:pPr>
              <w:pStyle w:val="ListParagraph"/>
              <w:widowControl/>
              <w:numPr>
                <w:ilvl w:val="0"/>
                <w:numId w:val="41"/>
              </w:numPr>
              <w:spacing w:before="60" w:after="60"/>
              <w:ind w:left="423" w:right="36" w:hanging="286"/>
              <w:rPr>
                <w:rFonts w:cs="Arial"/>
                <w:sz w:val="18"/>
                <w:szCs w:val="18"/>
                <w:lang w:eastAsia="en-GB"/>
              </w:rPr>
            </w:pPr>
            <w:r>
              <w:rPr>
                <w:rFonts w:cs="Arial"/>
                <w:i/>
                <w:sz w:val="18"/>
                <w:szCs w:val="18"/>
                <w:lang w:eastAsia="en-GB"/>
              </w:rPr>
              <w:t>Escherichia coli</w:t>
            </w:r>
            <w:r>
              <w:rPr>
                <w:rFonts w:cs="Arial"/>
                <w:sz w:val="18"/>
                <w:szCs w:val="18"/>
                <w:lang w:eastAsia="en-GB"/>
              </w:rPr>
              <w:t xml:space="preserve"> K-12 containing the gene for alpha-1,2-fucosyltransferase from </w:t>
            </w:r>
            <w:r>
              <w:rPr>
                <w:rFonts w:cs="Arial"/>
                <w:i/>
                <w:sz w:val="18"/>
                <w:szCs w:val="18"/>
                <w:lang w:eastAsia="en-GB"/>
              </w:rPr>
              <w:t>Helicobacter pylori</w:t>
            </w:r>
          </w:p>
        </w:tc>
        <w:tc>
          <w:tcPr>
            <w:tcW w:w="993" w:type="dxa"/>
            <w:tcBorders>
              <w:top w:val="nil"/>
              <w:left w:val="nil"/>
              <w:bottom w:val="single" w:sz="4" w:space="0" w:color="auto"/>
              <w:right w:val="nil"/>
            </w:tcBorders>
            <w:tcMar>
              <w:top w:w="0" w:type="dxa"/>
              <w:left w:w="108" w:type="dxa"/>
              <w:bottom w:w="0" w:type="dxa"/>
              <w:right w:w="108" w:type="dxa"/>
            </w:tcMar>
            <w:hideMark/>
          </w:tcPr>
          <w:p w14:paraId="7BE79377" w14:textId="77777777" w:rsidR="004801C9" w:rsidRDefault="004801C9">
            <w:pPr>
              <w:rPr>
                <w:rFonts w:cs="Arial"/>
                <w:sz w:val="18"/>
                <w:szCs w:val="18"/>
                <w:lang w:eastAsia="en-GB"/>
              </w:rPr>
            </w:pPr>
          </w:p>
        </w:tc>
        <w:tc>
          <w:tcPr>
            <w:tcW w:w="3969" w:type="dxa"/>
            <w:tcBorders>
              <w:top w:val="nil"/>
              <w:left w:val="nil"/>
              <w:bottom w:val="single" w:sz="4" w:space="0" w:color="auto"/>
              <w:right w:val="nil"/>
            </w:tcBorders>
            <w:hideMark/>
          </w:tcPr>
          <w:p w14:paraId="7E1128CC" w14:textId="77777777" w:rsidR="004801C9" w:rsidRDefault="004801C9" w:rsidP="004801C9">
            <w:pPr>
              <w:pStyle w:val="ListParagraph"/>
              <w:widowControl/>
              <w:numPr>
                <w:ilvl w:val="0"/>
                <w:numId w:val="42"/>
              </w:numPr>
              <w:spacing w:before="60" w:after="60"/>
              <w:ind w:left="305" w:right="34" w:hanging="283"/>
              <w:rPr>
                <w:rFonts w:cs="Arial"/>
                <w:sz w:val="18"/>
                <w:szCs w:val="18"/>
                <w:lang w:eastAsia="en-GB"/>
              </w:rPr>
            </w:pPr>
            <w:r>
              <w:rPr>
                <w:rFonts w:cs="Arial"/>
                <w:sz w:val="18"/>
                <w:szCs w:val="18"/>
                <w:lang w:eastAsia="en-AU"/>
              </w:rPr>
              <w:t xml:space="preserve">May only be added to infant formula products and to </w:t>
            </w:r>
            <w:r>
              <w:rPr>
                <w:sz w:val="18"/>
                <w:szCs w:val="18"/>
              </w:rPr>
              <w:t>formulated supplementary food for young children.</w:t>
            </w:r>
          </w:p>
          <w:p w14:paraId="735721F4" w14:textId="77777777" w:rsidR="004801C9" w:rsidRDefault="004801C9" w:rsidP="004801C9">
            <w:pPr>
              <w:pStyle w:val="ListParagraph"/>
              <w:widowControl/>
              <w:numPr>
                <w:ilvl w:val="0"/>
                <w:numId w:val="42"/>
              </w:numPr>
              <w:spacing w:before="60" w:after="60"/>
              <w:ind w:left="305" w:right="36" w:hanging="283"/>
              <w:rPr>
                <w:rFonts w:cs="Arial"/>
                <w:sz w:val="18"/>
                <w:szCs w:val="18"/>
                <w:lang w:eastAsia="en-GB"/>
              </w:rPr>
            </w:pPr>
            <w:r>
              <w:rPr>
                <w:rFonts w:cs="Arial"/>
                <w:sz w:val="18"/>
                <w:szCs w:val="18"/>
                <w:lang w:eastAsia="en-GB"/>
              </w:rPr>
              <w:t xml:space="preserve">During the </w:t>
            </w:r>
            <w:r>
              <w:rPr>
                <w:sz w:val="18"/>
                <w:szCs w:val="18"/>
              </w:rPr>
              <w:t xml:space="preserve">exclusive use period, may only be sold under </w:t>
            </w:r>
            <w:r>
              <w:rPr>
                <w:rFonts w:cs="Arial"/>
                <w:sz w:val="18"/>
                <w:szCs w:val="18"/>
                <w:lang w:eastAsia="en-AU"/>
              </w:rPr>
              <w:t>the brand GlyCare.</w:t>
            </w:r>
          </w:p>
          <w:p w14:paraId="70BE739E" w14:textId="77777777" w:rsidR="004801C9" w:rsidRDefault="004801C9" w:rsidP="004801C9">
            <w:pPr>
              <w:pStyle w:val="ListParagraph"/>
              <w:widowControl/>
              <w:numPr>
                <w:ilvl w:val="0"/>
                <w:numId w:val="42"/>
              </w:numPr>
              <w:spacing w:before="60" w:after="60"/>
              <w:ind w:left="305" w:right="36" w:hanging="283"/>
              <w:rPr>
                <w:rFonts w:cs="Arial"/>
                <w:sz w:val="18"/>
                <w:szCs w:val="18"/>
                <w:lang w:eastAsia="en-GB"/>
              </w:rPr>
            </w:pPr>
            <w:r>
              <w:rPr>
                <w:sz w:val="18"/>
                <w:szCs w:val="18"/>
              </w:rPr>
              <w:t xml:space="preserve">For the purposes of condition 2 above, </w:t>
            </w:r>
            <w:r>
              <w:rPr>
                <w:b/>
                <w:sz w:val="18"/>
                <w:szCs w:val="18"/>
              </w:rPr>
              <w:t>exclusive use period</w:t>
            </w:r>
            <w:r>
              <w:rPr>
                <w:sz w:val="18"/>
                <w:szCs w:val="18"/>
              </w:rPr>
              <w:t xml:space="preserve"> means the period commencing on the date of gazettal of the </w:t>
            </w:r>
            <w:r>
              <w:rPr>
                <w:i/>
                <w:sz w:val="18"/>
                <w:szCs w:val="18"/>
              </w:rPr>
              <w:t>Food Standards (Application A1155 – 2</w:t>
            </w:r>
            <w:r>
              <w:rPr>
                <w:rFonts w:cs="Arial"/>
                <w:i/>
                <w:sz w:val="18"/>
                <w:szCs w:val="18"/>
              </w:rPr>
              <w:t>′</w:t>
            </w:r>
            <w:r>
              <w:rPr>
                <w:i/>
                <w:sz w:val="18"/>
                <w:szCs w:val="18"/>
              </w:rPr>
              <w:t>-FL and LNnT in infant formula and other products) Variation</w:t>
            </w:r>
            <w:r>
              <w:rPr>
                <w:sz w:val="18"/>
                <w:szCs w:val="18"/>
              </w:rPr>
              <w:t xml:space="preserve"> and ending 15 months after that date.</w:t>
            </w:r>
          </w:p>
        </w:tc>
      </w:tr>
      <w:tr w:rsidR="004801C9" w14:paraId="3CDB455D" w14:textId="77777777" w:rsidTr="00700554">
        <w:trPr>
          <w:cantSplit/>
          <w:trHeight w:val="329"/>
        </w:trPr>
        <w:tc>
          <w:tcPr>
            <w:tcW w:w="284" w:type="dxa"/>
            <w:tcBorders>
              <w:top w:val="nil"/>
              <w:left w:val="nil"/>
              <w:bottom w:val="single" w:sz="4" w:space="0" w:color="auto"/>
              <w:right w:val="nil"/>
            </w:tcBorders>
            <w:tcMar>
              <w:top w:w="0" w:type="dxa"/>
              <w:left w:w="108" w:type="dxa"/>
              <w:bottom w:w="0" w:type="dxa"/>
              <w:right w:w="108" w:type="dxa"/>
            </w:tcMar>
            <w:hideMark/>
          </w:tcPr>
          <w:p w14:paraId="52107DAE" w14:textId="77777777" w:rsidR="004801C9" w:rsidRDefault="004801C9">
            <w:pPr>
              <w:spacing w:before="60" w:after="60"/>
              <w:rPr>
                <w:rFonts w:cs="Arial"/>
                <w:b/>
                <w:bCs/>
                <w:sz w:val="18"/>
                <w:szCs w:val="18"/>
                <w:lang w:eastAsia="en-GB"/>
              </w:rPr>
            </w:pPr>
            <w:r>
              <w:rPr>
                <w:rFonts w:cs="Arial"/>
                <w:b/>
                <w:bCs/>
                <w:sz w:val="18"/>
                <w:szCs w:val="18"/>
                <w:lang w:eastAsia="en-GB"/>
              </w:rPr>
              <w:t>2</w:t>
            </w:r>
          </w:p>
        </w:tc>
        <w:tc>
          <w:tcPr>
            <w:tcW w:w="2126" w:type="dxa"/>
            <w:tcBorders>
              <w:top w:val="nil"/>
              <w:left w:val="nil"/>
              <w:bottom w:val="single" w:sz="4" w:space="0" w:color="auto"/>
              <w:right w:val="nil"/>
            </w:tcBorders>
            <w:tcMar>
              <w:top w:w="0" w:type="dxa"/>
              <w:left w:w="108" w:type="dxa"/>
              <w:bottom w:w="0" w:type="dxa"/>
              <w:right w:w="108" w:type="dxa"/>
            </w:tcMar>
            <w:hideMark/>
          </w:tcPr>
          <w:p w14:paraId="5DB2639C" w14:textId="77777777" w:rsidR="004801C9" w:rsidRDefault="004801C9">
            <w:pPr>
              <w:spacing w:before="60" w:after="60"/>
              <w:rPr>
                <w:rFonts w:cs="Arial"/>
                <w:b/>
                <w:bCs/>
                <w:sz w:val="18"/>
                <w:szCs w:val="18"/>
                <w:lang w:eastAsia="en-GB"/>
              </w:rPr>
            </w:pPr>
            <w:r>
              <w:rPr>
                <w:rFonts w:cs="Arial"/>
                <w:b/>
                <w:bCs/>
                <w:sz w:val="18"/>
                <w:szCs w:val="18"/>
                <w:lang w:eastAsia="en-GB"/>
              </w:rPr>
              <w:t>Lacto-N-neotetraose</w:t>
            </w:r>
          </w:p>
        </w:tc>
        <w:tc>
          <w:tcPr>
            <w:tcW w:w="2693" w:type="dxa"/>
            <w:tcBorders>
              <w:top w:val="nil"/>
              <w:left w:val="nil"/>
              <w:bottom w:val="single" w:sz="4" w:space="0" w:color="auto"/>
              <w:right w:val="nil"/>
            </w:tcBorders>
            <w:hideMark/>
          </w:tcPr>
          <w:p w14:paraId="1FA44AFD" w14:textId="77777777" w:rsidR="004801C9" w:rsidRDefault="004801C9" w:rsidP="004801C9">
            <w:pPr>
              <w:pStyle w:val="ListParagraph"/>
              <w:widowControl/>
              <w:numPr>
                <w:ilvl w:val="0"/>
                <w:numId w:val="43"/>
              </w:numPr>
              <w:spacing w:before="60" w:after="60"/>
              <w:ind w:left="423" w:right="36" w:hanging="286"/>
              <w:rPr>
                <w:rFonts w:cs="Arial"/>
                <w:sz w:val="18"/>
                <w:szCs w:val="18"/>
                <w:lang w:eastAsia="en-GB"/>
              </w:rPr>
            </w:pPr>
            <w:r>
              <w:rPr>
                <w:rFonts w:cs="Arial"/>
                <w:i/>
                <w:sz w:val="18"/>
                <w:szCs w:val="18"/>
                <w:lang w:eastAsia="en-GB"/>
              </w:rPr>
              <w:t>Escherichia coli</w:t>
            </w:r>
            <w:r>
              <w:rPr>
                <w:rFonts w:cs="Arial"/>
                <w:sz w:val="18"/>
                <w:szCs w:val="18"/>
                <w:lang w:eastAsia="en-GB"/>
              </w:rPr>
              <w:t xml:space="preserve"> K-12 containing the gene for beta-1,3-N-acetylglucosaminyltransferase from </w:t>
            </w:r>
            <w:r>
              <w:rPr>
                <w:rFonts w:cs="Arial"/>
                <w:i/>
                <w:sz w:val="18"/>
                <w:szCs w:val="18"/>
                <w:lang w:eastAsia="en-GB"/>
              </w:rPr>
              <w:t>Neisseria meningitides</w:t>
            </w:r>
            <w:r>
              <w:rPr>
                <w:rFonts w:cs="Arial"/>
                <w:sz w:val="18"/>
                <w:szCs w:val="18"/>
                <w:lang w:eastAsia="en-GB"/>
              </w:rPr>
              <w:t xml:space="preserve"> and the gene for beta-1,4-galactosyltransferase from </w:t>
            </w:r>
            <w:r>
              <w:rPr>
                <w:rFonts w:cs="Arial"/>
                <w:i/>
                <w:sz w:val="18"/>
                <w:szCs w:val="18"/>
                <w:lang w:eastAsia="en-GB"/>
              </w:rPr>
              <w:t>Helicobacter pylori</w:t>
            </w:r>
          </w:p>
        </w:tc>
        <w:tc>
          <w:tcPr>
            <w:tcW w:w="993" w:type="dxa"/>
            <w:tcBorders>
              <w:top w:val="nil"/>
              <w:left w:val="nil"/>
              <w:bottom w:val="single" w:sz="4" w:space="0" w:color="auto"/>
              <w:right w:val="nil"/>
            </w:tcBorders>
            <w:tcMar>
              <w:top w:w="0" w:type="dxa"/>
              <w:left w:w="108" w:type="dxa"/>
              <w:bottom w:w="0" w:type="dxa"/>
              <w:right w:w="108" w:type="dxa"/>
            </w:tcMar>
          </w:tcPr>
          <w:p w14:paraId="7CDD944A" w14:textId="77777777" w:rsidR="004801C9" w:rsidRDefault="004801C9">
            <w:pPr>
              <w:spacing w:before="60" w:after="60"/>
              <w:ind w:right="36"/>
              <w:rPr>
                <w:rFonts w:cs="Arial"/>
                <w:sz w:val="18"/>
                <w:szCs w:val="18"/>
                <w:lang w:eastAsia="en-GB"/>
              </w:rPr>
            </w:pPr>
          </w:p>
        </w:tc>
        <w:tc>
          <w:tcPr>
            <w:tcW w:w="3969" w:type="dxa"/>
            <w:tcBorders>
              <w:top w:val="nil"/>
              <w:left w:val="nil"/>
              <w:bottom w:val="single" w:sz="4" w:space="0" w:color="auto"/>
              <w:right w:val="nil"/>
            </w:tcBorders>
            <w:hideMark/>
          </w:tcPr>
          <w:p w14:paraId="5B8EC68E" w14:textId="7039BF2B" w:rsidR="004801C9" w:rsidRDefault="004801C9" w:rsidP="004801C9">
            <w:pPr>
              <w:pStyle w:val="ListParagraph"/>
              <w:widowControl/>
              <w:numPr>
                <w:ilvl w:val="0"/>
                <w:numId w:val="44"/>
              </w:numPr>
              <w:spacing w:before="60" w:after="60"/>
              <w:ind w:left="342" w:right="36" w:hanging="283"/>
              <w:rPr>
                <w:rFonts w:cs="Arial"/>
                <w:sz w:val="18"/>
                <w:szCs w:val="18"/>
                <w:lang w:eastAsia="en-GB"/>
              </w:rPr>
            </w:pPr>
            <w:r>
              <w:rPr>
                <w:rFonts w:cs="Arial"/>
                <w:sz w:val="18"/>
                <w:szCs w:val="18"/>
                <w:lang w:eastAsia="en-AU"/>
              </w:rPr>
              <w:t xml:space="preserve">May only be added to the following foods in combination with </w:t>
            </w:r>
            <w:r>
              <w:rPr>
                <w:rFonts w:cs="Arial"/>
                <w:bCs/>
                <w:sz w:val="18"/>
                <w:szCs w:val="18"/>
                <w:lang w:eastAsia="en-GB"/>
              </w:rPr>
              <w:t>2′-O-fucosyllactose that is permitted for use in</w:t>
            </w:r>
            <w:r>
              <w:rPr>
                <w:rFonts w:cs="Arial"/>
                <w:sz w:val="18"/>
                <w:szCs w:val="18"/>
                <w:lang w:eastAsia="en-AU"/>
              </w:rPr>
              <w:t xml:space="preserve"> infant formula products</w:t>
            </w:r>
            <w:r w:rsidDel="003E2BDE">
              <w:rPr>
                <w:rFonts w:cs="Arial"/>
                <w:sz w:val="18"/>
                <w:szCs w:val="18"/>
                <w:lang w:eastAsia="en-AU"/>
              </w:rPr>
              <w:t>;</w:t>
            </w:r>
            <w:r>
              <w:rPr>
                <w:rFonts w:cs="Arial"/>
                <w:sz w:val="18"/>
                <w:szCs w:val="18"/>
                <w:lang w:eastAsia="en-AU"/>
              </w:rPr>
              <w:t xml:space="preserve"> and </w:t>
            </w:r>
            <w:r>
              <w:rPr>
                <w:sz w:val="18"/>
                <w:szCs w:val="18"/>
              </w:rPr>
              <w:t>formulated supplementary food for young children.</w:t>
            </w:r>
          </w:p>
          <w:p w14:paraId="0F64102D" w14:textId="77777777" w:rsidR="004801C9" w:rsidRDefault="004801C9" w:rsidP="004801C9">
            <w:pPr>
              <w:pStyle w:val="ListParagraph"/>
              <w:widowControl/>
              <w:numPr>
                <w:ilvl w:val="0"/>
                <w:numId w:val="44"/>
              </w:numPr>
              <w:spacing w:before="60" w:after="60"/>
              <w:ind w:left="342" w:right="36" w:hanging="283"/>
              <w:rPr>
                <w:rFonts w:cs="Arial"/>
                <w:sz w:val="18"/>
                <w:szCs w:val="18"/>
                <w:lang w:eastAsia="en-GB"/>
              </w:rPr>
            </w:pPr>
            <w:r>
              <w:rPr>
                <w:rFonts w:cs="Arial"/>
                <w:sz w:val="18"/>
                <w:szCs w:val="18"/>
                <w:lang w:eastAsia="en-GB"/>
              </w:rPr>
              <w:t xml:space="preserve">During the </w:t>
            </w:r>
            <w:r>
              <w:rPr>
                <w:sz w:val="18"/>
                <w:szCs w:val="18"/>
              </w:rPr>
              <w:t xml:space="preserve">exclusive use period, may only be sold under </w:t>
            </w:r>
            <w:r>
              <w:rPr>
                <w:rFonts w:cs="Arial"/>
                <w:sz w:val="18"/>
                <w:szCs w:val="18"/>
                <w:lang w:eastAsia="en-AU"/>
              </w:rPr>
              <w:t>the brand GlyCare.</w:t>
            </w:r>
          </w:p>
          <w:p w14:paraId="0CCD58FB" w14:textId="77777777" w:rsidR="004801C9" w:rsidRDefault="004801C9" w:rsidP="004801C9">
            <w:pPr>
              <w:pStyle w:val="ListParagraph"/>
              <w:widowControl/>
              <w:numPr>
                <w:ilvl w:val="0"/>
                <w:numId w:val="44"/>
              </w:numPr>
              <w:spacing w:before="60" w:after="60"/>
              <w:ind w:left="342" w:right="36" w:hanging="283"/>
              <w:rPr>
                <w:rFonts w:cs="Arial"/>
                <w:sz w:val="18"/>
                <w:szCs w:val="18"/>
                <w:lang w:eastAsia="en-GB"/>
              </w:rPr>
            </w:pPr>
            <w:r>
              <w:rPr>
                <w:sz w:val="18"/>
                <w:szCs w:val="18"/>
              </w:rPr>
              <w:t xml:space="preserve">For the purposes of condition 2 above, </w:t>
            </w:r>
            <w:r>
              <w:rPr>
                <w:b/>
                <w:sz w:val="18"/>
                <w:szCs w:val="18"/>
              </w:rPr>
              <w:t>exclusive use period</w:t>
            </w:r>
            <w:r>
              <w:rPr>
                <w:sz w:val="18"/>
                <w:szCs w:val="18"/>
              </w:rPr>
              <w:t xml:space="preserve"> means the period commencing on the date of gazettal of the </w:t>
            </w:r>
            <w:r>
              <w:rPr>
                <w:i/>
                <w:sz w:val="18"/>
                <w:szCs w:val="18"/>
              </w:rPr>
              <w:t>Food Standards (Application A1155 – 2</w:t>
            </w:r>
            <w:r>
              <w:rPr>
                <w:rFonts w:cs="Arial"/>
                <w:i/>
                <w:sz w:val="18"/>
                <w:szCs w:val="18"/>
              </w:rPr>
              <w:t>′</w:t>
            </w:r>
            <w:r>
              <w:rPr>
                <w:i/>
                <w:sz w:val="18"/>
                <w:szCs w:val="18"/>
              </w:rPr>
              <w:t>-FL and LNnT in infant formula and other products) Variation</w:t>
            </w:r>
            <w:r>
              <w:rPr>
                <w:sz w:val="18"/>
                <w:szCs w:val="18"/>
              </w:rPr>
              <w:t xml:space="preserve"> and ending 15 months after that date.</w:t>
            </w:r>
          </w:p>
        </w:tc>
      </w:tr>
    </w:tbl>
    <w:p w14:paraId="4300D2C2" w14:textId="77777777" w:rsidR="004801C9" w:rsidRDefault="004801C9" w:rsidP="004801C9">
      <w:pPr>
        <w:pStyle w:val="FSCDraftingitem"/>
        <w:rPr>
          <w:szCs w:val="22"/>
        </w:rPr>
      </w:pPr>
    </w:p>
    <w:p w14:paraId="11A22B61" w14:textId="77777777" w:rsidR="004801C9" w:rsidRDefault="004801C9" w:rsidP="004801C9">
      <w:pPr>
        <w:pStyle w:val="FSCDraftingitem"/>
        <w:rPr>
          <w:lang w:bidi="en-US"/>
        </w:rPr>
      </w:pPr>
      <w:r>
        <w:rPr>
          <w:b/>
          <w:lang w:bidi="en-US"/>
        </w:rPr>
        <w:t>[6]</w:t>
      </w:r>
      <w:r>
        <w:rPr>
          <w:b/>
          <w:lang w:bidi="en-US"/>
        </w:rPr>
        <w:tab/>
        <w:t>Schedule 29</w:t>
      </w:r>
      <w:r>
        <w:rPr>
          <w:lang w:bidi="en-US"/>
        </w:rPr>
        <w:t xml:space="preserve"> is varied by</w:t>
      </w:r>
    </w:p>
    <w:p w14:paraId="1566E5FB" w14:textId="77777777" w:rsidR="004801C9" w:rsidRDefault="004801C9" w:rsidP="004801C9">
      <w:pPr>
        <w:pStyle w:val="FSCDraftingitem"/>
        <w:rPr>
          <w:lang w:bidi="en-US"/>
        </w:rPr>
      </w:pPr>
      <w:r>
        <w:rPr>
          <w:lang w:bidi="en-US"/>
        </w:rPr>
        <w:t>[6.1]</w:t>
      </w:r>
      <w:r>
        <w:rPr>
          <w:lang w:bidi="en-US"/>
        </w:rPr>
        <w:tab/>
        <w:t xml:space="preserve">omitting section </w:t>
      </w:r>
      <w:r>
        <w:t>S29—5, substituting</w:t>
      </w:r>
    </w:p>
    <w:p w14:paraId="27919B70" w14:textId="77777777" w:rsidR="004801C9" w:rsidRDefault="004801C9" w:rsidP="004801C9">
      <w:pPr>
        <w:pStyle w:val="FSCh5Section"/>
      </w:pPr>
      <w:bookmarkStart w:id="178" w:name="_Toc400032544"/>
      <w:bookmarkStart w:id="179" w:name="_Toc371505897"/>
      <w:bookmarkStart w:id="180" w:name="_Ref341885462"/>
      <w:r>
        <w:t>S29—5</w:t>
      </w:r>
      <w:r>
        <w:tab/>
        <w:t>Infant formula products—substances permitted as nutritive substances</w:t>
      </w:r>
      <w:bookmarkEnd w:id="178"/>
      <w:bookmarkEnd w:id="179"/>
      <w:bookmarkEnd w:id="180"/>
    </w:p>
    <w:p w14:paraId="1804D595" w14:textId="77777777" w:rsidR="004801C9" w:rsidRDefault="004801C9" w:rsidP="004801C9">
      <w:pPr>
        <w:pStyle w:val="FSCtMain"/>
        <w:tabs>
          <w:tab w:val="left" w:pos="720"/>
        </w:tabs>
        <w:rPr>
          <w:szCs w:val="20"/>
        </w:rPr>
      </w:pPr>
      <w:r>
        <w:t xml:space="preserve"> </w:t>
      </w:r>
      <w:r>
        <w:tab/>
        <w:t>For section 2.9.1—5, the</w:t>
      </w:r>
      <w:r>
        <w:rPr>
          <w:szCs w:val="20"/>
        </w:rPr>
        <w:t xml:space="preserve"> table is set out below.</w:t>
      </w:r>
    </w:p>
    <w:p w14:paraId="0C8269F5" w14:textId="77777777" w:rsidR="004801C9" w:rsidRDefault="004801C9" w:rsidP="004801C9">
      <w:pPr>
        <w:pStyle w:val="FSCtblh2"/>
      </w:pPr>
      <w:r>
        <w:t>Infant formula products—substances permitted for use as nutritive substances</w:t>
      </w:r>
    </w:p>
    <w:tbl>
      <w:tblPr>
        <w:tblStyle w:val="TableGrid"/>
        <w:tblW w:w="9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ant formula products - substances permitted for use as nutritive substances"/>
        <w:tblDescription w:val="The table restates the substances currently permitted for use as nutritive substances in infant formula products in S29-5 of Schedule 29, and adds two new rows for 2′-FL permitted for use by Standard 1.5.2, and a combination of 2′-FL permitted for use by Standard 1.5.2 and LNnT permitted for use by Standard 1.5.2.  The maximum amount permitted per 100 kJ is listed in Column 4 of the table."/>
      </w:tblPr>
      <w:tblGrid>
        <w:gridCol w:w="2834"/>
        <w:gridCol w:w="3554"/>
        <w:gridCol w:w="1278"/>
        <w:gridCol w:w="1399"/>
      </w:tblGrid>
      <w:tr w:rsidR="004801C9" w14:paraId="45E5CD1D" w14:textId="77777777" w:rsidTr="00700554">
        <w:trPr>
          <w:cantSplit/>
          <w:tblHeader/>
          <w:jc w:val="center"/>
        </w:trPr>
        <w:tc>
          <w:tcPr>
            <w:tcW w:w="2834" w:type="dxa"/>
            <w:tcBorders>
              <w:top w:val="single" w:sz="4" w:space="0" w:color="auto"/>
              <w:left w:val="nil"/>
              <w:bottom w:val="single" w:sz="4" w:space="0" w:color="auto"/>
              <w:right w:val="nil"/>
            </w:tcBorders>
            <w:hideMark/>
          </w:tcPr>
          <w:p w14:paraId="022791A8" w14:textId="77777777" w:rsidR="004801C9" w:rsidRDefault="004801C9">
            <w:pPr>
              <w:pStyle w:val="FSCtblh3"/>
            </w:pPr>
            <w:r>
              <w:t>Column 1</w:t>
            </w:r>
          </w:p>
        </w:tc>
        <w:tc>
          <w:tcPr>
            <w:tcW w:w="3554" w:type="dxa"/>
            <w:tcBorders>
              <w:top w:val="single" w:sz="4" w:space="0" w:color="auto"/>
              <w:left w:val="nil"/>
              <w:bottom w:val="single" w:sz="4" w:space="0" w:color="auto"/>
              <w:right w:val="nil"/>
            </w:tcBorders>
            <w:hideMark/>
          </w:tcPr>
          <w:p w14:paraId="430B8F9B" w14:textId="77777777" w:rsidR="004801C9" w:rsidRDefault="004801C9">
            <w:pPr>
              <w:pStyle w:val="FSCtblh3"/>
            </w:pPr>
            <w:r>
              <w:t>Column 2</w:t>
            </w:r>
          </w:p>
        </w:tc>
        <w:tc>
          <w:tcPr>
            <w:tcW w:w="1278" w:type="dxa"/>
            <w:tcBorders>
              <w:top w:val="single" w:sz="4" w:space="0" w:color="auto"/>
              <w:left w:val="nil"/>
              <w:bottom w:val="single" w:sz="4" w:space="0" w:color="auto"/>
              <w:right w:val="nil"/>
            </w:tcBorders>
            <w:hideMark/>
          </w:tcPr>
          <w:p w14:paraId="2D910248" w14:textId="77777777" w:rsidR="004801C9" w:rsidRDefault="004801C9">
            <w:pPr>
              <w:pStyle w:val="FSCtblh3"/>
            </w:pPr>
            <w:r>
              <w:t>Column 3</w:t>
            </w:r>
          </w:p>
        </w:tc>
        <w:tc>
          <w:tcPr>
            <w:tcW w:w="1399" w:type="dxa"/>
            <w:tcBorders>
              <w:top w:val="single" w:sz="4" w:space="0" w:color="auto"/>
              <w:left w:val="nil"/>
              <w:bottom w:val="single" w:sz="4" w:space="0" w:color="auto"/>
              <w:right w:val="nil"/>
            </w:tcBorders>
            <w:hideMark/>
          </w:tcPr>
          <w:p w14:paraId="2F114DE3" w14:textId="77777777" w:rsidR="004801C9" w:rsidRDefault="004801C9">
            <w:pPr>
              <w:pStyle w:val="FSCtblh3"/>
            </w:pPr>
            <w:r>
              <w:t>Column 4</w:t>
            </w:r>
          </w:p>
        </w:tc>
      </w:tr>
      <w:tr w:rsidR="004801C9" w14:paraId="0BF204F1" w14:textId="77777777" w:rsidTr="00700554">
        <w:trPr>
          <w:cantSplit/>
          <w:tblHeader/>
          <w:jc w:val="center"/>
        </w:trPr>
        <w:tc>
          <w:tcPr>
            <w:tcW w:w="2834" w:type="dxa"/>
            <w:tcBorders>
              <w:top w:val="single" w:sz="4" w:space="0" w:color="auto"/>
              <w:left w:val="nil"/>
              <w:bottom w:val="single" w:sz="4" w:space="0" w:color="auto"/>
              <w:right w:val="nil"/>
            </w:tcBorders>
            <w:hideMark/>
          </w:tcPr>
          <w:p w14:paraId="1BFAAE99" w14:textId="77777777" w:rsidR="004801C9" w:rsidRDefault="004801C9">
            <w:pPr>
              <w:pStyle w:val="FSCtblh4"/>
            </w:pPr>
            <w:r>
              <w:t>Substance</w:t>
            </w:r>
          </w:p>
        </w:tc>
        <w:tc>
          <w:tcPr>
            <w:tcW w:w="3554" w:type="dxa"/>
            <w:tcBorders>
              <w:top w:val="single" w:sz="4" w:space="0" w:color="auto"/>
              <w:left w:val="nil"/>
              <w:bottom w:val="single" w:sz="4" w:space="0" w:color="auto"/>
              <w:right w:val="nil"/>
            </w:tcBorders>
            <w:hideMark/>
          </w:tcPr>
          <w:p w14:paraId="7B08EDFC" w14:textId="77777777" w:rsidR="004801C9" w:rsidRDefault="004801C9">
            <w:pPr>
              <w:pStyle w:val="FSCtblh4"/>
            </w:pPr>
            <w:r>
              <w:t>Permitted forms</w:t>
            </w:r>
          </w:p>
        </w:tc>
        <w:tc>
          <w:tcPr>
            <w:tcW w:w="1278" w:type="dxa"/>
            <w:tcBorders>
              <w:top w:val="single" w:sz="4" w:space="0" w:color="auto"/>
              <w:left w:val="nil"/>
              <w:bottom w:val="single" w:sz="4" w:space="0" w:color="auto"/>
              <w:right w:val="nil"/>
            </w:tcBorders>
            <w:hideMark/>
          </w:tcPr>
          <w:p w14:paraId="209EC48D" w14:textId="77777777" w:rsidR="004801C9" w:rsidRDefault="004801C9">
            <w:pPr>
              <w:pStyle w:val="FSCtblh4"/>
            </w:pPr>
            <w:r>
              <w:t>Minimum amount per 100 kJ</w:t>
            </w:r>
          </w:p>
        </w:tc>
        <w:tc>
          <w:tcPr>
            <w:tcW w:w="1399" w:type="dxa"/>
            <w:tcBorders>
              <w:top w:val="single" w:sz="4" w:space="0" w:color="auto"/>
              <w:left w:val="nil"/>
              <w:bottom w:val="single" w:sz="4" w:space="0" w:color="auto"/>
              <w:right w:val="nil"/>
            </w:tcBorders>
            <w:hideMark/>
          </w:tcPr>
          <w:p w14:paraId="05E70D33" w14:textId="77777777" w:rsidR="004801C9" w:rsidRDefault="004801C9">
            <w:pPr>
              <w:pStyle w:val="FSCtblh4"/>
            </w:pPr>
            <w:r>
              <w:t>Maximum amount per 100 kJ</w:t>
            </w:r>
          </w:p>
        </w:tc>
      </w:tr>
      <w:tr w:rsidR="004801C9" w14:paraId="78505AFE" w14:textId="77777777" w:rsidTr="00700554">
        <w:trPr>
          <w:cantSplit/>
          <w:jc w:val="center"/>
        </w:trPr>
        <w:tc>
          <w:tcPr>
            <w:tcW w:w="2834" w:type="dxa"/>
            <w:hideMark/>
          </w:tcPr>
          <w:p w14:paraId="5EB459DB" w14:textId="77777777" w:rsidR="004801C9" w:rsidRDefault="004801C9">
            <w:pPr>
              <w:pStyle w:val="FSCtblMain"/>
            </w:pPr>
            <w:r>
              <w:t>2′-O-fucosyllactose permitted for use by Standard 1.5.2</w:t>
            </w:r>
          </w:p>
        </w:tc>
        <w:tc>
          <w:tcPr>
            <w:tcW w:w="3554" w:type="dxa"/>
            <w:hideMark/>
          </w:tcPr>
          <w:p w14:paraId="47E80B43" w14:textId="77777777" w:rsidR="004801C9" w:rsidRDefault="004801C9">
            <w:pPr>
              <w:pStyle w:val="FSCtblMain"/>
            </w:pPr>
            <w:r>
              <w:t>2′-O-fucosyllactose</w:t>
            </w:r>
          </w:p>
        </w:tc>
        <w:tc>
          <w:tcPr>
            <w:tcW w:w="1278" w:type="dxa"/>
          </w:tcPr>
          <w:p w14:paraId="2C04E7FA" w14:textId="77777777" w:rsidR="004801C9" w:rsidRDefault="004801C9">
            <w:pPr>
              <w:pStyle w:val="FSCtblMain"/>
            </w:pPr>
          </w:p>
        </w:tc>
        <w:tc>
          <w:tcPr>
            <w:tcW w:w="1399" w:type="dxa"/>
            <w:hideMark/>
          </w:tcPr>
          <w:p w14:paraId="5344251B" w14:textId="77777777" w:rsidR="004801C9" w:rsidRDefault="004801C9">
            <w:pPr>
              <w:pStyle w:val="FSCtblMain"/>
            </w:pPr>
            <w:r>
              <w:t>96 mg</w:t>
            </w:r>
          </w:p>
        </w:tc>
      </w:tr>
      <w:tr w:rsidR="004801C9" w14:paraId="3162FD00" w14:textId="77777777" w:rsidTr="00700554">
        <w:trPr>
          <w:cantSplit/>
          <w:jc w:val="center"/>
        </w:trPr>
        <w:tc>
          <w:tcPr>
            <w:tcW w:w="2834" w:type="dxa"/>
            <w:hideMark/>
          </w:tcPr>
          <w:p w14:paraId="3DBFA87A" w14:textId="77777777" w:rsidR="004801C9" w:rsidRDefault="004801C9">
            <w:pPr>
              <w:pStyle w:val="FSCtblMain"/>
            </w:pPr>
            <w:r>
              <w:t xml:space="preserve">A combination of: 2′-O-fucosyllactose permitted for use by Standard 1.5.2; and lacto-N-neotetraose permitted for use by Standard 1.5.2 </w:t>
            </w:r>
          </w:p>
        </w:tc>
        <w:tc>
          <w:tcPr>
            <w:tcW w:w="3554" w:type="dxa"/>
            <w:hideMark/>
          </w:tcPr>
          <w:p w14:paraId="7CAF20DD" w14:textId="77777777" w:rsidR="004801C9" w:rsidRDefault="004801C9">
            <w:pPr>
              <w:pStyle w:val="FSCtblMain"/>
            </w:pPr>
            <w:r>
              <w:t>2′-O-fucosyllactose and lacto-N-neotetraose</w:t>
            </w:r>
          </w:p>
        </w:tc>
        <w:tc>
          <w:tcPr>
            <w:tcW w:w="1278" w:type="dxa"/>
          </w:tcPr>
          <w:p w14:paraId="658CC89A" w14:textId="77777777" w:rsidR="004801C9" w:rsidRDefault="004801C9">
            <w:pPr>
              <w:pStyle w:val="FSCtblMain"/>
            </w:pPr>
          </w:p>
        </w:tc>
        <w:tc>
          <w:tcPr>
            <w:tcW w:w="1399" w:type="dxa"/>
            <w:hideMark/>
          </w:tcPr>
          <w:p w14:paraId="64F8A1C5" w14:textId="77777777" w:rsidR="004801C9" w:rsidRDefault="004801C9">
            <w:pPr>
              <w:pStyle w:val="FSCtblMain"/>
            </w:pPr>
            <w:r>
              <w:t>96 mg which contains not more than 24 mg of lacto-N-neotetraose</w:t>
            </w:r>
          </w:p>
        </w:tc>
      </w:tr>
      <w:tr w:rsidR="004801C9" w14:paraId="6C34F175" w14:textId="77777777" w:rsidTr="00700554">
        <w:trPr>
          <w:cantSplit/>
          <w:jc w:val="center"/>
        </w:trPr>
        <w:tc>
          <w:tcPr>
            <w:tcW w:w="2834" w:type="dxa"/>
            <w:hideMark/>
          </w:tcPr>
          <w:p w14:paraId="3D90BB32" w14:textId="77777777" w:rsidR="004801C9" w:rsidRDefault="004801C9">
            <w:pPr>
              <w:pStyle w:val="FSCtblMain"/>
            </w:pPr>
            <w:r>
              <w:t>Adenosine-5′-monophosphate</w:t>
            </w:r>
          </w:p>
        </w:tc>
        <w:tc>
          <w:tcPr>
            <w:tcW w:w="3554" w:type="dxa"/>
            <w:hideMark/>
          </w:tcPr>
          <w:p w14:paraId="746A50F7" w14:textId="77777777" w:rsidR="004801C9" w:rsidRDefault="004801C9">
            <w:pPr>
              <w:pStyle w:val="FSCtblMain"/>
            </w:pPr>
            <w:r>
              <w:t>Adenosine-5′- monophosphate</w:t>
            </w:r>
          </w:p>
        </w:tc>
        <w:tc>
          <w:tcPr>
            <w:tcW w:w="1278" w:type="dxa"/>
            <w:hideMark/>
          </w:tcPr>
          <w:p w14:paraId="2DB111D6" w14:textId="77777777" w:rsidR="004801C9" w:rsidRDefault="004801C9">
            <w:pPr>
              <w:pStyle w:val="FSCtblMain"/>
            </w:pPr>
            <w:r>
              <w:t>0.14 mg</w:t>
            </w:r>
          </w:p>
        </w:tc>
        <w:tc>
          <w:tcPr>
            <w:tcW w:w="1399" w:type="dxa"/>
            <w:hideMark/>
          </w:tcPr>
          <w:p w14:paraId="7D060D30" w14:textId="77777777" w:rsidR="004801C9" w:rsidRDefault="004801C9">
            <w:pPr>
              <w:pStyle w:val="FSCtblMain"/>
            </w:pPr>
            <w:r>
              <w:t>0.38 mg</w:t>
            </w:r>
          </w:p>
        </w:tc>
      </w:tr>
      <w:tr w:rsidR="004801C9" w14:paraId="53096642" w14:textId="77777777" w:rsidTr="00700554">
        <w:trPr>
          <w:cantSplit/>
          <w:jc w:val="center"/>
        </w:trPr>
        <w:tc>
          <w:tcPr>
            <w:tcW w:w="2834" w:type="dxa"/>
            <w:hideMark/>
          </w:tcPr>
          <w:p w14:paraId="461FFBA2" w14:textId="77777777" w:rsidR="004801C9" w:rsidRDefault="004801C9">
            <w:pPr>
              <w:pStyle w:val="FSCtblMain"/>
            </w:pPr>
            <w:r>
              <w:t>L-carnitine</w:t>
            </w:r>
          </w:p>
        </w:tc>
        <w:tc>
          <w:tcPr>
            <w:tcW w:w="3554" w:type="dxa"/>
            <w:hideMark/>
          </w:tcPr>
          <w:p w14:paraId="54053F81" w14:textId="77777777" w:rsidR="004801C9" w:rsidRDefault="004801C9">
            <w:pPr>
              <w:pStyle w:val="FSCtblMain"/>
            </w:pPr>
            <w:r>
              <w:t>L-carnitine</w:t>
            </w:r>
          </w:p>
        </w:tc>
        <w:tc>
          <w:tcPr>
            <w:tcW w:w="1278" w:type="dxa"/>
            <w:hideMark/>
          </w:tcPr>
          <w:p w14:paraId="686226E8" w14:textId="77777777" w:rsidR="004801C9" w:rsidRDefault="004801C9">
            <w:pPr>
              <w:pStyle w:val="FSCtblMain"/>
            </w:pPr>
            <w:r>
              <w:t xml:space="preserve">0.21 mg </w:t>
            </w:r>
          </w:p>
        </w:tc>
        <w:tc>
          <w:tcPr>
            <w:tcW w:w="1399" w:type="dxa"/>
            <w:hideMark/>
          </w:tcPr>
          <w:p w14:paraId="187B7377" w14:textId="77777777" w:rsidR="004801C9" w:rsidRDefault="004801C9">
            <w:pPr>
              <w:pStyle w:val="FSCtblMain"/>
            </w:pPr>
            <w:r>
              <w:t>0.8 mg</w:t>
            </w:r>
          </w:p>
        </w:tc>
      </w:tr>
      <w:tr w:rsidR="004801C9" w14:paraId="55C65669" w14:textId="77777777" w:rsidTr="00700554">
        <w:trPr>
          <w:cantSplit/>
          <w:jc w:val="center"/>
        </w:trPr>
        <w:tc>
          <w:tcPr>
            <w:tcW w:w="2834" w:type="dxa"/>
            <w:hideMark/>
          </w:tcPr>
          <w:p w14:paraId="2AA4DD80" w14:textId="77777777" w:rsidR="004801C9" w:rsidRDefault="004801C9">
            <w:pPr>
              <w:pStyle w:val="FSCtblMain"/>
            </w:pPr>
            <w:r>
              <w:t>Choline</w:t>
            </w:r>
          </w:p>
        </w:tc>
        <w:tc>
          <w:tcPr>
            <w:tcW w:w="3554" w:type="dxa"/>
            <w:hideMark/>
          </w:tcPr>
          <w:p w14:paraId="11D24414" w14:textId="77777777" w:rsidR="004801C9" w:rsidRDefault="004801C9">
            <w:pPr>
              <w:pStyle w:val="FSCtblMain"/>
            </w:pPr>
            <w:r>
              <w:t>Choline chloride</w:t>
            </w:r>
          </w:p>
        </w:tc>
        <w:tc>
          <w:tcPr>
            <w:tcW w:w="1278" w:type="dxa"/>
            <w:hideMark/>
          </w:tcPr>
          <w:p w14:paraId="4A8A7F2B" w14:textId="77777777" w:rsidR="004801C9" w:rsidRDefault="004801C9">
            <w:pPr>
              <w:pStyle w:val="FSCtblMain"/>
            </w:pPr>
            <w:r>
              <w:t xml:space="preserve">1.7 mg </w:t>
            </w:r>
          </w:p>
        </w:tc>
        <w:tc>
          <w:tcPr>
            <w:tcW w:w="1399" w:type="dxa"/>
            <w:hideMark/>
          </w:tcPr>
          <w:p w14:paraId="3E3D6E89" w14:textId="77777777" w:rsidR="004801C9" w:rsidRDefault="004801C9">
            <w:pPr>
              <w:pStyle w:val="FSCtblMain"/>
            </w:pPr>
            <w:r>
              <w:t>7.1 mg</w:t>
            </w:r>
          </w:p>
        </w:tc>
      </w:tr>
      <w:tr w:rsidR="004801C9" w14:paraId="0FF571ED" w14:textId="77777777" w:rsidTr="00700554">
        <w:trPr>
          <w:cantSplit/>
          <w:jc w:val="center"/>
        </w:trPr>
        <w:tc>
          <w:tcPr>
            <w:tcW w:w="2834" w:type="dxa"/>
          </w:tcPr>
          <w:p w14:paraId="34EDCF6A" w14:textId="77777777" w:rsidR="004801C9" w:rsidRDefault="004801C9">
            <w:pPr>
              <w:pStyle w:val="FSCbasetbl"/>
            </w:pPr>
          </w:p>
        </w:tc>
        <w:tc>
          <w:tcPr>
            <w:tcW w:w="3554" w:type="dxa"/>
            <w:hideMark/>
          </w:tcPr>
          <w:p w14:paraId="223AE41C" w14:textId="77777777" w:rsidR="004801C9" w:rsidRDefault="004801C9">
            <w:pPr>
              <w:pStyle w:val="FSCtblMain"/>
            </w:pPr>
            <w:r>
              <w:t>Choline bitartrate</w:t>
            </w:r>
          </w:p>
        </w:tc>
        <w:tc>
          <w:tcPr>
            <w:tcW w:w="1278" w:type="dxa"/>
          </w:tcPr>
          <w:p w14:paraId="484DCE67" w14:textId="77777777" w:rsidR="004801C9" w:rsidRDefault="004801C9">
            <w:pPr>
              <w:pStyle w:val="FSCbasetbl"/>
            </w:pPr>
          </w:p>
        </w:tc>
        <w:tc>
          <w:tcPr>
            <w:tcW w:w="1399" w:type="dxa"/>
          </w:tcPr>
          <w:p w14:paraId="6BF42327" w14:textId="77777777" w:rsidR="004801C9" w:rsidRDefault="004801C9">
            <w:pPr>
              <w:pStyle w:val="FSCtblMain"/>
            </w:pPr>
          </w:p>
        </w:tc>
      </w:tr>
      <w:tr w:rsidR="004801C9" w14:paraId="72D26C75" w14:textId="77777777" w:rsidTr="00700554">
        <w:trPr>
          <w:cantSplit/>
          <w:jc w:val="center"/>
        </w:trPr>
        <w:tc>
          <w:tcPr>
            <w:tcW w:w="2834" w:type="dxa"/>
            <w:hideMark/>
          </w:tcPr>
          <w:p w14:paraId="56205428" w14:textId="77777777" w:rsidR="004801C9" w:rsidRDefault="004801C9">
            <w:pPr>
              <w:pStyle w:val="FSCtblMain"/>
            </w:pPr>
            <w:r>
              <w:t>Cytidine-5′-monophosphate</w:t>
            </w:r>
          </w:p>
        </w:tc>
        <w:tc>
          <w:tcPr>
            <w:tcW w:w="3554" w:type="dxa"/>
            <w:hideMark/>
          </w:tcPr>
          <w:p w14:paraId="3149722D" w14:textId="77777777" w:rsidR="004801C9" w:rsidRDefault="004801C9">
            <w:pPr>
              <w:pStyle w:val="FSCtblMain"/>
            </w:pPr>
            <w:r>
              <w:t>Cytidine-5′-monophosphate</w:t>
            </w:r>
          </w:p>
        </w:tc>
        <w:tc>
          <w:tcPr>
            <w:tcW w:w="1278" w:type="dxa"/>
            <w:hideMark/>
          </w:tcPr>
          <w:p w14:paraId="69ADF48C" w14:textId="77777777" w:rsidR="004801C9" w:rsidRDefault="004801C9">
            <w:pPr>
              <w:pStyle w:val="FSCtblMain"/>
            </w:pPr>
            <w:r>
              <w:t xml:space="preserve">0.22 mg </w:t>
            </w:r>
          </w:p>
        </w:tc>
        <w:tc>
          <w:tcPr>
            <w:tcW w:w="1399" w:type="dxa"/>
            <w:hideMark/>
          </w:tcPr>
          <w:p w14:paraId="518B94A5" w14:textId="77777777" w:rsidR="004801C9" w:rsidRDefault="004801C9">
            <w:pPr>
              <w:pStyle w:val="FSCtblMain"/>
            </w:pPr>
            <w:r>
              <w:t>0.6 mg</w:t>
            </w:r>
          </w:p>
        </w:tc>
      </w:tr>
      <w:tr w:rsidR="004801C9" w14:paraId="2956DBBF" w14:textId="77777777" w:rsidTr="00700554">
        <w:trPr>
          <w:cantSplit/>
          <w:jc w:val="center"/>
        </w:trPr>
        <w:tc>
          <w:tcPr>
            <w:tcW w:w="2834" w:type="dxa"/>
            <w:hideMark/>
          </w:tcPr>
          <w:p w14:paraId="0D97C1A3" w14:textId="77777777" w:rsidR="004801C9" w:rsidRDefault="004801C9">
            <w:pPr>
              <w:pStyle w:val="FSCtblMain"/>
            </w:pPr>
            <w:r>
              <w:t>Guanosine-5′-monophosphate</w:t>
            </w:r>
          </w:p>
        </w:tc>
        <w:tc>
          <w:tcPr>
            <w:tcW w:w="3554" w:type="dxa"/>
            <w:hideMark/>
          </w:tcPr>
          <w:p w14:paraId="11EC4AE2" w14:textId="77777777" w:rsidR="004801C9" w:rsidRDefault="004801C9">
            <w:pPr>
              <w:pStyle w:val="FSCtblMain"/>
            </w:pPr>
            <w:r>
              <w:t>Guanosine-5′-monophosphate</w:t>
            </w:r>
          </w:p>
        </w:tc>
        <w:tc>
          <w:tcPr>
            <w:tcW w:w="1278" w:type="dxa"/>
            <w:hideMark/>
          </w:tcPr>
          <w:p w14:paraId="31016A36" w14:textId="77777777" w:rsidR="004801C9" w:rsidRDefault="004801C9">
            <w:pPr>
              <w:pStyle w:val="FSCtblMain"/>
            </w:pPr>
            <w:r>
              <w:t xml:space="preserve">0.04 mg </w:t>
            </w:r>
          </w:p>
        </w:tc>
        <w:tc>
          <w:tcPr>
            <w:tcW w:w="1399" w:type="dxa"/>
            <w:hideMark/>
          </w:tcPr>
          <w:p w14:paraId="1E54769B" w14:textId="77777777" w:rsidR="004801C9" w:rsidRDefault="004801C9">
            <w:pPr>
              <w:pStyle w:val="FSCtblMain"/>
            </w:pPr>
            <w:r>
              <w:t>0.12 mg</w:t>
            </w:r>
          </w:p>
        </w:tc>
      </w:tr>
      <w:tr w:rsidR="004801C9" w14:paraId="2911E529" w14:textId="77777777" w:rsidTr="00700554">
        <w:trPr>
          <w:cantSplit/>
          <w:jc w:val="center"/>
        </w:trPr>
        <w:tc>
          <w:tcPr>
            <w:tcW w:w="2834" w:type="dxa"/>
            <w:hideMark/>
          </w:tcPr>
          <w:p w14:paraId="0438F426" w14:textId="77777777" w:rsidR="004801C9" w:rsidRDefault="004801C9">
            <w:pPr>
              <w:pStyle w:val="FSCtblMain"/>
            </w:pPr>
            <w:r>
              <w:t xml:space="preserve"> </w:t>
            </w:r>
          </w:p>
        </w:tc>
        <w:tc>
          <w:tcPr>
            <w:tcW w:w="3554" w:type="dxa"/>
            <w:hideMark/>
          </w:tcPr>
          <w:p w14:paraId="17FB0D67" w14:textId="77777777" w:rsidR="004801C9" w:rsidRDefault="004801C9">
            <w:pPr>
              <w:pStyle w:val="FSCtblMain"/>
            </w:pPr>
            <w:r>
              <w:t>Guanosine-5′-monophosphate sodium salt</w:t>
            </w:r>
          </w:p>
        </w:tc>
        <w:tc>
          <w:tcPr>
            <w:tcW w:w="1278" w:type="dxa"/>
          </w:tcPr>
          <w:p w14:paraId="153DF9B8" w14:textId="77777777" w:rsidR="004801C9" w:rsidRDefault="004801C9">
            <w:pPr>
              <w:pStyle w:val="FSCbasetbl"/>
            </w:pPr>
          </w:p>
        </w:tc>
        <w:tc>
          <w:tcPr>
            <w:tcW w:w="1399" w:type="dxa"/>
          </w:tcPr>
          <w:p w14:paraId="05A1BE65" w14:textId="77777777" w:rsidR="004801C9" w:rsidRDefault="004801C9">
            <w:pPr>
              <w:pStyle w:val="FSCtblMain"/>
            </w:pPr>
          </w:p>
        </w:tc>
      </w:tr>
      <w:tr w:rsidR="004801C9" w14:paraId="00BDB997" w14:textId="77777777" w:rsidTr="00700554">
        <w:trPr>
          <w:cantSplit/>
          <w:jc w:val="center"/>
        </w:trPr>
        <w:tc>
          <w:tcPr>
            <w:tcW w:w="2834" w:type="dxa"/>
            <w:hideMark/>
          </w:tcPr>
          <w:p w14:paraId="2E911FC6" w14:textId="77777777" w:rsidR="004801C9" w:rsidRDefault="004801C9">
            <w:pPr>
              <w:pStyle w:val="FSCtblMain"/>
            </w:pPr>
            <w:r>
              <w:t>Inosine-5′-monophosphate</w:t>
            </w:r>
          </w:p>
        </w:tc>
        <w:tc>
          <w:tcPr>
            <w:tcW w:w="3554" w:type="dxa"/>
            <w:hideMark/>
          </w:tcPr>
          <w:p w14:paraId="107CCC85" w14:textId="77777777" w:rsidR="004801C9" w:rsidRDefault="004801C9">
            <w:pPr>
              <w:pStyle w:val="FSCtblMain"/>
            </w:pPr>
            <w:r>
              <w:t>Inosine-5′-monophosphate</w:t>
            </w:r>
          </w:p>
        </w:tc>
        <w:tc>
          <w:tcPr>
            <w:tcW w:w="1278" w:type="dxa"/>
            <w:hideMark/>
          </w:tcPr>
          <w:p w14:paraId="1EBEB8C6" w14:textId="77777777" w:rsidR="004801C9" w:rsidRDefault="004801C9">
            <w:pPr>
              <w:pStyle w:val="FSCtblMain"/>
            </w:pPr>
            <w:r>
              <w:t xml:space="preserve">0.08 mg </w:t>
            </w:r>
          </w:p>
        </w:tc>
        <w:tc>
          <w:tcPr>
            <w:tcW w:w="1399" w:type="dxa"/>
            <w:hideMark/>
          </w:tcPr>
          <w:p w14:paraId="15C34F16" w14:textId="77777777" w:rsidR="004801C9" w:rsidRDefault="004801C9">
            <w:pPr>
              <w:pStyle w:val="FSCtblMain"/>
            </w:pPr>
            <w:r>
              <w:t>0.24 mg</w:t>
            </w:r>
          </w:p>
        </w:tc>
      </w:tr>
      <w:tr w:rsidR="004801C9" w14:paraId="1EC71084" w14:textId="77777777" w:rsidTr="00700554">
        <w:trPr>
          <w:cantSplit/>
          <w:jc w:val="center"/>
        </w:trPr>
        <w:tc>
          <w:tcPr>
            <w:tcW w:w="2834" w:type="dxa"/>
          </w:tcPr>
          <w:p w14:paraId="09858AFC" w14:textId="77777777" w:rsidR="004801C9" w:rsidRDefault="004801C9">
            <w:pPr>
              <w:pStyle w:val="FSCbasetbl"/>
            </w:pPr>
          </w:p>
        </w:tc>
        <w:tc>
          <w:tcPr>
            <w:tcW w:w="3554" w:type="dxa"/>
            <w:hideMark/>
          </w:tcPr>
          <w:p w14:paraId="633190B4" w14:textId="77777777" w:rsidR="004801C9" w:rsidRDefault="004801C9">
            <w:pPr>
              <w:pStyle w:val="FSCtblMain"/>
            </w:pPr>
            <w:r>
              <w:t>Inosine-5′-monophosphate sodium salt</w:t>
            </w:r>
          </w:p>
        </w:tc>
        <w:tc>
          <w:tcPr>
            <w:tcW w:w="1278" w:type="dxa"/>
          </w:tcPr>
          <w:p w14:paraId="7F8946B4" w14:textId="77777777" w:rsidR="004801C9" w:rsidRDefault="004801C9">
            <w:pPr>
              <w:pStyle w:val="FSCbasetbl"/>
            </w:pPr>
          </w:p>
        </w:tc>
        <w:tc>
          <w:tcPr>
            <w:tcW w:w="1399" w:type="dxa"/>
            <w:hideMark/>
          </w:tcPr>
          <w:p w14:paraId="506A72E8" w14:textId="77777777" w:rsidR="004801C9" w:rsidRDefault="004801C9">
            <w:pPr>
              <w:pStyle w:val="FSCtblMain"/>
            </w:pPr>
            <w:r>
              <w:t xml:space="preserve"> </w:t>
            </w:r>
          </w:p>
        </w:tc>
      </w:tr>
      <w:tr w:rsidR="004801C9" w14:paraId="1664833A" w14:textId="77777777" w:rsidTr="00700554">
        <w:trPr>
          <w:cantSplit/>
          <w:jc w:val="center"/>
        </w:trPr>
        <w:tc>
          <w:tcPr>
            <w:tcW w:w="2834" w:type="dxa"/>
            <w:hideMark/>
          </w:tcPr>
          <w:p w14:paraId="55D15073" w14:textId="77777777" w:rsidR="004801C9" w:rsidRDefault="004801C9">
            <w:pPr>
              <w:pStyle w:val="FSCtblMain"/>
            </w:pPr>
            <w:r>
              <w:t>Lutein</w:t>
            </w:r>
          </w:p>
        </w:tc>
        <w:tc>
          <w:tcPr>
            <w:tcW w:w="3554" w:type="dxa"/>
            <w:hideMark/>
          </w:tcPr>
          <w:p w14:paraId="5A0823F7" w14:textId="77777777" w:rsidR="004801C9" w:rsidRDefault="004801C9">
            <w:pPr>
              <w:pStyle w:val="FSCtblMain"/>
            </w:pPr>
            <w:r>
              <w:t xml:space="preserve">Lutein from </w:t>
            </w:r>
            <w:r>
              <w:rPr>
                <w:i/>
              </w:rPr>
              <w:t>Tagetes erecta L.</w:t>
            </w:r>
          </w:p>
        </w:tc>
        <w:tc>
          <w:tcPr>
            <w:tcW w:w="1278" w:type="dxa"/>
            <w:hideMark/>
          </w:tcPr>
          <w:p w14:paraId="0558B2EB" w14:textId="77777777" w:rsidR="004801C9" w:rsidRDefault="004801C9">
            <w:pPr>
              <w:pStyle w:val="FSCtblMain"/>
            </w:pPr>
            <w:r>
              <w:t>1.5 µg</w:t>
            </w:r>
          </w:p>
        </w:tc>
        <w:tc>
          <w:tcPr>
            <w:tcW w:w="1399" w:type="dxa"/>
            <w:hideMark/>
          </w:tcPr>
          <w:p w14:paraId="36D4A256" w14:textId="77777777" w:rsidR="004801C9" w:rsidRDefault="004801C9">
            <w:pPr>
              <w:pStyle w:val="FSCtblMain"/>
            </w:pPr>
            <w:r>
              <w:t>5 µg</w:t>
            </w:r>
          </w:p>
        </w:tc>
      </w:tr>
      <w:tr w:rsidR="004801C9" w14:paraId="0AD9FD65" w14:textId="77777777" w:rsidTr="00700554">
        <w:trPr>
          <w:cantSplit/>
          <w:jc w:val="center"/>
        </w:trPr>
        <w:tc>
          <w:tcPr>
            <w:tcW w:w="2834" w:type="dxa"/>
            <w:hideMark/>
          </w:tcPr>
          <w:p w14:paraId="290B1493" w14:textId="77777777" w:rsidR="004801C9" w:rsidRDefault="004801C9">
            <w:pPr>
              <w:pStyle w:val="FSCtblMain"/>
            </w:pPr>
            <w:r>
              <w:t>Inositol</w:t>
            </w:r>
          </w:p>
        </w:tc>
        <w:tc>
          <w:tcPr>
            <w:tcW w:w="3554" w:type="dxa"/>
            <w:hideMark/>
          </w:tcPr>
          <w:p w14:paraId="29211057" w14:textId="77777777" w:rsidR="004801C9" w:rsidRDefault="004801C9">
            <w:pPr>
              <w:pStyle w:val="FSCtblMain"/>
            </w:pPr>
            <w:r>
              <w:t>Inositol</w:t>
            </w:r>
          </w:p>
        </w:tc>
        <w:tc>
          <w:tcPr>
            <w:tcW w:w="1278" w:type="dxa"/>
            <w:hideMark/>
          </w:tcPr>
          <w:p w14:paraId="747C9146" w14:textId="77777777" w:rsidR="004801C9" w:rsidRDefault="004801C9">
            <w:pPr>
              <w:pStyle w:val="FSCtblMain"/>
            </w:pPr>
            <w:r>
              <w:t>1.0 mg</w:t>
            </w:r>
          </w:p>
        </w:tc>
        <w:tc>
          <w:tcPr>
            <w:tcW w:w="1399" w:type="dxa"/>
            <w:hideMark/>
          </w:tcPr>
          <w:p w14:paraId="69DE290E" w14:textId="77777777" w:rsidR="004801C9" w:rsidRDefault="004801C9">
            <w:pPr>
              <w:pStyle w:val="FSCtblMain"/>
            </w:pPr>
            <w:r>
              <w:t>9.5 mg</w:t>
            </w:r>
          </w:p>
        </w:tc>
      </w:tr>
      <w:tr w:rsidR="004801C9" w14:paraId="3B6B94A3" w14:textId="77777777" w:rsidTr="00700554">
        <w:trPr>
          <w:cantSplit/>
          <w:jc w:val="center"/>
        </w:trPr>
        <w:tc>
          <w:tcPr>
            <w:tcW w:w="2834" w:type="dxa"/>
            <w:hideMark/>
          </w:tcPr>
          <w:p w14:paraId="67DAB01B" w14:textId="77777777" w:rsidR="004801C9" w:rsidRDefault="004801C9">
            <w:pPr>
              <w:pStyle w:val="FSCtblMain"/>
            </w:pPr>
            <w:r>
              <w:t>Taurine</w:t>
            </w:r>
          </w:p>
        </w:tc>
        <w:tc>
          <w:tcPr>
            <w:tcW w:w="3554" w:type="dxa"/>
            <w:hideMark/>
          </w:tcPr>
          <w:p w14:paraId="4BA2E049" w14:textId="77777777" w:rsidR="004801C9" w:rsidRDefault="004801C9">
            <w:pPr>
              <w:pStyle w:val="FSCtblMain"/>
            </w:pPr>
            <w:r>
              <w:t>Taurine</w:t>
            </w:r>
          </w:p>
        </w:tc>
        <w:tc>
          <w:tcPr>
            <w:tcW w:w="1278" w:type="dxa"/>
            <w:hideMark/>
          </w:tcPr>
          <w:p w14:paraId="4283409D" w14:textId="77777777" w:rsidR="004801C9" w:rsidRDefault="004801C9">
            <w:pPr>
              <w:pStyle w:val="FSCtblMain"/>
            </w:pPr>
            <w:r>
              <w:t xml:space="preserve">0.8 mg </w:t>
            </w:r>
          </w:p>
        </w:tc>
        <w:tc>
          <w:tcPr>
            <w:tcW w:w="1399" w:type="dxa"/>
            <w:hideMark/>
          </w:tcPr>
          <w:p w14:paraId="405296AF" w14:textId="77777777" w:rsidR="004801C9" w:rsidRDefault="004801C9">
            <w:pPr>
              <w:pStyle w:val="FSCtblMain"/>
            </w:pPr>
            <w:r>
              <w:t>3 mg</w:t>
            </w:r>
          </w:p>
        </w:tc>
      </w:tr>
      <w:tr w:rsidR="004801C9" w14:paraId="47F788FC" w14:textId="77777777" w:rsidTr="00700554">
        <w:trPr>
          <w:cantSplit/>
          <w:jc w:val="center"/>
        </w:trPr>
        <w:tc>
          <w:tcPr>
            <w:tcW w:w="2834" w:type="dxa"/>
            <w:tcBorders>
              <w:top w:val="nil"/>
              <w:left w:val="nil"/>
              <w:bottom w:val="single" w:sz="4" w:space="0" w:color="auto"/>
              <w:right w:val="nil"/>
            </w:tcBorders>
            <w:hideMark/>
          </w:tcPr>
          <w:p w14:paraId="2931FB9F" w14:textId="77777777" w:rsidR="004801C9" w:rsidRDefault="004801C9">
            <w:pPr>
              <w:pStyle w:val="FSCtblMain"/>
            </w:pPr>
            <w:r>
              <w:t>Uridine-5′-monophosphate</w:t>
            </w:r>
          </w:p>
        </w:tc>
        <w:tc>
          <w:tcPr>
            <w:tcW w:w="3554" w:type="dxa"/>
            <w:tcBorders>
              <w:top w:val="nil"/>
              <w:left w:val="nil"/>
              <w:bottom w:val="single" w:sz="4" w:space="0" w:color="auto"/>
              <w:right w:val="nil"/>
            </w:tcBorders>
            <w:hideMark/>
          </w:tcPr>
          <w:p w14:paraId="7D8EC465" w14:textId="77777777" w:rsidR="004801C9" w:rsidRDefault="004801C9">
            <w:pPr>
              <w:pStyle w:val="FSCtblMain"/>
            </w:pPr>
            <w:r>
              <w:t>Uridine-5′-monophosphate sodium salt</w:t>
            </w:r>
          </w:p>
        </w:tc>
        <w:tc>
          <w:tcPr>
            <w:tcW w:w="1278" w:type="dxa"/>
            <w:tcBorders>
              <w:top w:val="nil"/>
              <w:left w:val="nil"/>
              <w:bottom w:val="single" w:sz="4" w:space="0" w:color="auto"/>
              <w:right w:val="nil"/>
            </w:tcBorders>
            <w:hideMark/>
          </w:tcPr>
          <w:p w14:paraId="69115B63" w14:textId="77777777" w:rsidR="004801C9" w:rsidRDefault="004801C9">
            <w:pPr>
              <w:pStyle w:val="FSCtblMain"/>
            </w:pPr>
            <w:r>
              <w:t>0.13 mg</w:t>
            </w:r>
          </w:p>
        </w:tc>
        <w:tc>
          <w:tcPr>
            <w:tcW w:w="1399" w:type="dxa"/>
            <w:tcBorders>
              <w:top w:val="nil"/>
              <w:left w:val="nil"/>
              <w:bottom w:val="single" w:sz="4" w:space="0" w:color="auto"/>
              <w:right w:val="nil"/>
            </w:tcBorders>
            <w:hideMark/>
          </w:tcPr>
          <w:p w14:paraId="59EBD92D" w14:textId="77777777" w:rsidR="004801C9" w:rsidRDefault="004801C9">
            <w:pPr>
              <w:pStyle w:val="FSCtblMain"/>
            </w:pPr>
            <w:r>
              <w:t>0.42 mg</w:t>
            </w:r>
          </w:p>
        </w:tc>
      </w:tr>
    </w:tbl>
    <w:p w14:paraId="7E4F0C20" w14:textId="77777777" w:rsidR="004801C9" w:rsidRDefault="004801C9" w:rsidP="004801C9">
      <w:pPr>
        <w:pStyle w:val="FSCDraftingitem"/>
        <w:rPr>
          <w:lang w:bidi="en-US"/>
        </w:rPr>
      </w:pPr>
    </w:p>
    <w:p w14:paraId="39912D00" w14:textId="77777777" w:rsidR="004801C9" w:rsidRDefault="004801C9" w:rsidP="004801C9">
      <w:pPr>
        <w:pStyle w:val="FSCDraftingitem"/>
      </w:pPr>
      <w:r>
        <w:rPr>
          <w:lang w:bidi="en-US"/>
        </w:rPr>
        <w:t xml:space="preserve"> [6.2]</w:t>
      </w:r>
      <w:r>
        <w:rPr>
          <w:lang w:bidi="en-US"/>
        </w:rPr>
        <w:tab/>
        <w:t xml:space="preserve">inserting after section </w:t>
      </w:r>
      <w:r>
        <w:t>S29—15</w:t>
      </w:r>
    </w:p>
    <w:p w14:paraId="117818C4" w14:textId="77777777" w:rsidR="004801C9" w:rsidRDefault="004801C9" w:rsidP="004801C9">
      <w:pPr>
        <w:pStyle w:val="FSCh5Section"/>
      </w:pPr>
      <w:r>
        <w:t>S29—15A</w:t>
      </w:r>
      <w:r>
        <w:tab/>
        <w:t>F</w:t>
      </w:r>
      <w:r>
        <w:rPr>
          <w:bCs w:val="0"/>
          <w:szCs w:val="22"/>
        </w:rPr>
        <w:t>ormulated supplementary food for young children</w:t>
      </w:r>
      <w:r>
        <w:t>—other substances permitted as nutritive substances</w:t>
      </w:r>
    </w:p>
    <w:p w14:paraId="475AE0C8" w14:textId="77777777" w:rsidR="004801C9" w:rsidRDefault="004801C9" w:rsidP="004801C9">
      <w:pPr>
        <w:pStyle w:val="Default"/>
        <w:tabs>
          <w:tab w:val="left" w:pos="1134"/>
        </w:tabs>
        <w:ind w:left="1701" w:hanging="1701"/>
        <w:rPr>
          <w:sz w:val="20"/>
          <w:szCs w:val="20"/>
        </w:rPr>
      </w:pPr>
      <w:r>
        <w:rPr>
          <w:sz w:val="20"/>
          <w:szCs w:val="20"/>
        </w:rPr>
        <w:tab/>
      </w:r>
      <w:r>
        <w:rPr>
          <w:sz w:val="20"/>
          <w:szCs w:val="20"/>
        </w:rPr>
        <w:tab/>
      </w:r>
      <w:r>
        <w:rPr>
          <w:rFonts w:ascii="Arial" w:hAnsi="Arial" w:cs="Arial"/>
          <w:iCs/>
          <w:color w:val="auto"/>
          <w:sz w:val="20"/>
          <w:szCs w:val="20"/>
          <w:lang w:val="en-GB" w:eastAsia="en-AU"/>
        </w:rPr>
        <w:t>For subsection 2.9.3—7(2A), the table is set out below.</w:t>
      </w:r>
      <w:r>
        <w:rPr>
          <w:sz w:val="20"/>
          <w:szCs w:val="20"/>
        </w:rPr>
        <w:t xml:space="preserve"> </w:t>
      </w:r>
    </w:p>
    <w:p w14:paraId="046E40BC" w14:textId="77777777" w:rsidR="004801C9" w:rsidRDefault="004801C9" w:rsidP="004801C9">
      <w:pPr>
        <w:pStyle w:val="FSCtblh2"/>
        <w:ind w:left="142"/>
        <w:jc w:val="left"/>
      </w:pPr>
      <w:r>
        <w:t>Formulated supplementary food for young children—other substances permitted for use as nutritive substances</w:t>
      </w:r>
    </w:p>
    <w:tbl>
      <w:tblPr>
        <w:tblStyle w:val="TableGrid"/>
        <w:tblW w:w="90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rmulated supplementary food for young children - other substances permitted for use as nutritive substances"/>
        <w:tblDescription w:val="The table lists substances permitted for use as nutritive substances in FSFYC in S29-15(A) of Schedule 29. The table lists 2′-FL permitted for use by Standard 1.5.2, and a combination of 2′-FL permitted for use by Standard 1.5.2 and LNnT permitted for use by Standard 1.5.2. The table also lists Lutein. The maximum amount permitted per serving for each of the substances is listed in Column 3."/>
      </w:tblPr>
      <w:tblGrid>
        <w:gridCol w:w="2661"/>
        <w:gridCol w:w="3135"/>
        <w:gridCol w:w="3254"/>
      </w:tblGrid>
      <w:tr w:rsidR="004801C9" w14:paraId="775C797D" w14:textId="77777777" w:rsidTr="004801C9">
        <w:trPr>
          <w:cantSplit/>
          <w:tblHeader/>
          <w:jc w:val="center"/>
        </w:trPr>
        <w:tc>
          <w:tcPr>
            <w:tcW w:w="2661" w:type="dxa"/>
            <w:tcBorders>
              <w:top w:val="single" w:sz="4" w:space="0" w:color="auto"/>
              <w:left w:val="nil"/>
              <w:bottom w:val="single" w:sz="4" w:space="0" w:color="auto"/>
              <w:right w:val="nil"/>
            </w:tcBorders>
            <w:hideMark/>
          </w:tcPr>
          <w:p w14:paraId="14B62B3D" w14:textId="77777777" w:rsidR="004801C9" w:rsidRDefault="004801C9">
            <w:pPr>
              <w:pStyle w:val="FSCtblh3"/>
            </w:pPr>
            <w:r>
              <w:t>Column 1</w:t>
            </w:r>
          </w:p>
        </w:tc>
        <w:tc>
          <w:tcPr>
            <w:tcW w:w="3135" w:type="dxa"/>
            <w:tcBorders>
              <w:top w:val="single" w:sz="4" w:space="0" w:color="auto"/>
              <w:left w:val="nil"/>
              <w:bottom w:val="single" w:sz="4" w:space="0" w:color="auto"/>
              <w:right w:val="nil"/>
            </w:tcBorders>
            <w:hideMark/>
          </w:tcPr>
          <w:p w14:paraId="2BA58CD1" w14:textId="77777777" w:rsidR="004801C9" w:rsidRDefault="004801C9">
            <w:pPr>
              <w:pStyle w:val="FSCtblh3"/>
            </w:pPr>
            <w:r>
              <w:t>Column 2</w:t>
            </w:r>
          </w:p>
        </w:tc>
        <w:tc>
          <w:tcPr>
            <w:tcW w:w="3254" w:type="dxa"/>
            <w:tcBorders>
              <w:top w:val="single" w:sz="4" w:space="0" w:color="auto"/>
              <w:left w:val="nil"/>
              <w:bottom w:val="single" w:sz="4" w:space="0" w:color="auto"/>
              <w:right w:val="nil"/>
            </w:tcBorders>
            <w:hideMark/>
          </w:tcPr>
          <w:p w14:paraId="0917F69C" w14:textId="77777777" w:rsidR="004801C9" w:rsidRDefault="004801C9">
            <w:pPr>
              <w:pStyle w:val="FSCtblh3"/>
            </w:pPr>
            <w:r>
              <w:t>Column 3</w:t>
            </w:r>
          </w:p>
        </w:tc>
      </w:tr>
      <w:tr w:rsidR="004801C9" w14:paraId="360D3C09" w14:textId="77777777" w:rsidTr="004801C9">
        <w:trPr>
          <w:cantSplit/>
          <w:tblHeader/>
          <w:jc w:val="center"/>
        </w:trPr>
        <w:tc>
          <w:tcPr>
            <w:tcW w:w="2661" w:type="dxa"/>
            <w:tcBorders>
              <w:top w:val="single" w:sz="4" w:space="0" w:color="auto"/>
              <w:left w:val="nil"/>
              <w:bottom w:val="single" w:sz="4" w:space="0" w:color="auto"/>
              <w:right w:val="nil"/>
            </w:tcBorders>
            <w:hideMark/>
          </w:tcPr>
          <w:p w14:paraId="31ADA0CE" w14:textId="77777777" w:rsidR="004801C9" w:rsidRDefault="004801C9">
            <w:pPr>
              <w:pStyle w:val="FSCtblh4"/>
            </w:pPr>
            <w:r>
              <w:t>Substance</w:t>
            </w:r>
          </w:p>
        </w:tc>
        <w:tc>
          <w:tcPr>
            <w:tcW w:w="3135" w:type="dxa"/>
            <w:tcBorders>
              <w:top w:val="single" w:sz="4" w:space="0" w:color="auto"/>
              <w:left w:val="nil"/>
              <w:bottom w:val="single" w:sz="4" w:space="0" w:color="auto"/>
              <w:right w:val="nil"/>
            </w:tcBorders>
            <w:hideMark/>
          </w:tcPr>
          <w:p w14:paraId="6CFEC3FE" w14:textId="77777777" w:rsidR="004801C9" w:rsidRDefault="004801C9">
            <w:pPr>
              <w:pStyle w:val="FSCtblh4"/>
            </w:pPr>
            <w:r>
              <w:t>Permitted form</w:t>
            </w:r>
          </w:p>
        </w:tc>
        <w:tc>
          <w:tcPr>
            <w:tcW w:w="3254" w:type="dxa"/>
            <w:tcBorders>
              <w:top w:val="single" w:sz="4" w:space="0" w:color="auto"/>
              <w:left w:val="nil"/>
              <w:bottom w:val="single" w:sz="4" w:space="0" w:color="auto"/>
              <w:right w:val="nil"/>
            </w:tcBorders>
            <w:hideMark/>
          </w:tcPr>
          <w:p w14:paraId="04B1DA38" w14:textId="77777777" w:rsidR="004801C9" w:rsidRDefault="004801C9">
            <w:pPr>
              <w:pStyle w:val="FSCtblh4"/>
            </w:pPr>
            <w:r>
              <w:t>Maximum amount per serving</w:t>
            </w:r>
          </w:p>
        </w:tc>
      </w:tr>
      <w:tr w:rsidR="004801C9" w14:paraId="29864540" w14:textId="77777777" w:rsidTr="004801C9">
        <w:trPr>
          <w:cantSplit/>
          <w:jc w:val="center"/>
        </w:trPr>
        <w:tc>
          <w:tcPr>
            <w:tcW w:w="2661" w:type="dxa"/>
            <w:tcBorders>
              <w:top w:val="single" w:sz="4" w:space="0" w:color="auto"/>
              <w:left w:val="nil"/>
              <w:bottom w:val="nil"/>
              <w:right w:val="nil"/>
            </w:tcBorders>
            <w:hideMark/>
          </w:tcPr>
          <w:p w14:paraId="34C4E6C2" w14:textId="77777777" w:rsidR="004801C9" w:rsidRDefault="004801C9">
            <w:pPr>
              <w:pStyle w:val="FSCtblMain"/>
            </w:pPr>
            <w:r>
              <w:t>2′-O-fucosyllactose permitted for use by Standard 1.5.2</w:t>
            </w:r>
          </w:p>
        </w:tc>
        <w:tc>
          <w:tcPr>
            <w:tcW w:w="3135" w:type="dxa"/>
            <w:tcBorders>
              <w:top w:val="single" w:sz="4" w:space="0" w:color="auto"/>
              <w:left w:val="nil"/>
              <w:bottom w:val="nil"/>
              <w:right w:val="nil"/>
            </w:tcBorders>
            <w:hideMark/>
          </w:tcPr>
          <w:p w14:paraId="00D570E1" w14:textId="77777777" w:rsidR="004801C9" w:rsidRDefault="004801C9">
            <w:pPr>
              <w:pStyle w:val="FSCtblMain"/>
            </w:pPr>
            <w:r>
              <w:t>2′-O-fucosyllactose</w:t>
            </w:r>
          </w:p>
        </w:tc>
        <w:tc>
          <w:tcPr>
            <w:tcW w:w="3254" w:type="dxa"/>
            <w:tcBorders>
              <w:top w:val="single" w:sz="4" w:space="0" w:color="auto"/>
              <w:left w:val="nil"/>
              <w:bottom w:val="nil"/>
              <w:right w:val="nil"/>
            </w:tcBorders>
            <w:hideMark/>
          </w:tcPr>
          <w:p w14:paraId="17581765" w14:textId="77777777" w:rsidR="004801C9" w:rsidRDefault="004801C9">
            <w:pPr>
              <w:pStyle w:val="FSCtblMain"/>
            </w:pPr>
            <w:r>
              <w:t>0.55 g</w:t>
            </w:r>
          </w:p>
        </w:tc>
      </w:tr>
      <w:tr w:rsidR="004801C9" w14:paraId="722E4DDA" w14:textId="77777777" w:rsidTr="004801C9">
        <w:trPr>
          <w:cantSplit/>
          <w:jc w:val="center"/>
        </w:trPr>
        <w:tc>
          <w:tcPr>
            <w:tcW w:w="2661" w:type="dxa"/>
            <w:hideMark/>
          </w:tcPr>
          <w:p w14:paraId="1F1B7923" w14:textId="77777777" w:rsidR="004801C9" w:rsidRDefault="004801C9">
            <w:pPr>
              <w:pStyle w:val="FSCtblMain"/>
            </w:pPr>
            <w:r>
              <w:t>A combination of: 2′-O-fucosyllactose permitted for use by Standard 1.5.2; and lacto-N-neotetraose permitted for use by Standard 1.5.2</w:t>
            </w:r>
          </w:p>
        </w:tc>
        <w:tc>
          <w:tcPr>
            <w:tcW w:w="3135" w:type="dxa"/>
            <w:hideMark/>
          </w:tcPr>
          <w:p w14:paraId="7C02FD7A" w14:textId="77777777" w:rsidR="004801C9" w:rsidRDefault="004801C9">
            <w:pPr>
              <w:pStyle w:val="FSCtblMain"/>
            </w:pPr>
            <w:r>
              <w:t>2′-O-fucosyllactose and lacto-N-neotetraose</w:t>
            </w:r>
          </w:p>
        </w:tc>
        <w:tc>
          <w:tcPr>
            <w:tcW w:w="3254" w:type="dxa"/>
            <w:hideMark/>
          </w:tcPr>
          <w:p w14:paraId="19C33E00" w14:textId="77777777" w:rsidR="004801C9" w:rsidRDefault="004801C9">
            <w:pPr>
              <w:pStyle w:val="FSCtblMain"/>
            </w:pPr>
            <w:r>
              <w:t xml:space="preserve">0.55 g which contains not more than 0.14 g of lacto-N-neotetraose </w:t>
            </w:r>
          </w:p>
        </w:tc>
      </w:tr>
      <w:tr w:rsidR="004801C9" w14:paraId="34E5D952" w14:textId="77777777" w:rsidTr="004801C9">
        <w:trPr>
          <w:cantSplit/>
          <w:jc w:val="center"/>
        </w:trPr>
        <w:tc>
          <w:tcPr>
            <w:tcW w:w="2661" w:type="dxa"/>
            <w:hideMark/>
          </w:tcPr>
          <w:p w14:paraId="756DABD0" w14:textId="77777777" w:rsidR="004801C9" w:rsidRDefault="004801C9">
            <w:pPr>
              <w:pStyle w:val="FSCtblMain"/>
            </w:pPr>
            <w:r>
              <w:t>Lutein</w:t>
            </w:r>
          </w:p>
        </w:tc>
        <w:tc>
          <w:tcPr>
            <w:tcW w:w="3135" w:type="dxa"/>
            <w:hideMark/>
          </w:tcPr>
          <w:p w14:paraId="0B654214" w14:textId="77777777" w:rsidR="004801C9" w:rsidRDefault="004801C9">
            <w:pPr>
              <w:pStyle w:val="FSCtblMain"/>
            </w:pPr>
            <w:r>
              <w:t xml:space="preserve">Lutein from </w:t>
            </w:r>
            <w:r>
              <w:rPr>
                <w:i/>
              </w:rPr>
              <w:t>Tagetes erecta L.</w:t>
            </w:r>
          </w:p>
        </w:tc>
        <w:tc>
          <w:tcPr>
            <w:tcW w:w="3254" w:type="dxa"/>
            <w:hideMark/>
          </w:tcPr>
          <w:p w14:paraId="46A4A1F4" w14:textId="77777777" w:rsidR="004801C9" w:rsidRDefault="004801C9">
            <w:pPr>
              <w:pStyle w:val="FSCtblMain"/>
            </w:pPr>
            <w:r>
              <w:t>100 µg</w:t>
            </w:r>
          </w:p>
        </w:tc>
      </w:tr>
    </w:tbl>
    <w:p w14:paraId="70CEE3CC" w14:textId="77777777" w:rsidR="004801C9" w:rsidRDefault="004801C9" w:rsidP="004801C9">
      <w:pPr>
        <w:pStyle w:val="FSCtMain"/>
      </w:pPr>
    </w:p>
    <w:p w14:paraId="4C05EE1D" w14:textId="77777777" w:rsidR="004801C9" w:rsidRDefault="004801C9" w:rsidP="004801C9">
      <w:pPr>
        <w:pStyle w:val="FSCDraftingitem"/>
        <w:rPr>
          <w:lang w:bidi="en-US"/>
        </w:rPr>
      </w:pPr>
    </w:p>
    <w:p w14:paraId="1A8CA2AF" w14:textId="77777777" w:rsidR="004801C9" w:rsidRDefault="004801C9" w:rsidP="004801C9">
      <w:pPr>
        <w:widowControl/>
        <w:rPr>
          <w:rFonts w:cs="Arial"/>
          <w:b/>
          <w:bCs/>
          <w:sz w:val="28"/>
          <w:szCs w:val="22"/>
          <w:lang w:bidi="ar-SA"/>
        </w:rPr>
      </w:pPr>
      <w:r>
        <w:br w:type="page"/>
      </w:r>
    </w:p>
    <w:p w14:paraId="2049C661" w14:textId="77777777" w:rsidR="004801C9" w:rsidRDefault="004801C9" w:rsidP="004801C9">
      <w:pPr>
        <w:pStyle w:val="Heading2"/>
        <w:ind w:left="0" w:firstLine="0"/>
      </w:pPr>
      <w:bookmarkStart w:id="181" w:name="_Toc14427216"/>
      <w:bookmarkStart w:id="182" w:name="_Toc11247924"/>
      <w:bookmarkStart w:id="183" w:name="_Toc425174951"/>
      <w:bookmarkStart w:id="184" w:name="_Toc22303688"/>
      <w:bookmarkStart w:id="185" w:name="_Toc22650351"/>
      <w:r>
        <w:t>Attachment B – Draft Explanatory Statement</w:t>
      </w:r>
      <w:bookmarkEnd w:id="181"/>
      <w:bookmarkEnd w:id="182"/>
      <w:bookmarkEnd w:id="183"/>
      <w:bookmarkEnd w:id="184"/>
      <w:bookmarkEnd w:id="185"/>
    </w:p>
    <w:p w14:paraId="494C308F" w14:textId="77777777" w:rsidR="004801C9" w:rsidRDefault="004801C9" w:rsidP="004801C9">
      <w:pPr>
        <w:rPr>
          <w:b/>
          <w:lang w:val="en-AU" w:eastAsia="en-GB" w:bidi="ar-SA"/>
        </w:rPr>
      </w:pPr>
      <w:r>
        <w:rPr>
          <w:b/>
          <w:lang w:val="en-AU" w:eastAsia="en-GB" w:bidi="ar-SA"/>
        </w:rPr>
        <w:t>1.</w:t>
      </w:r>
      <w:r>
        <w:rPr>
          <w:b/>
          <w:lang w:val="en-AU" w:eastAsia="en-GB" w:bidi="ar-SA"/>
        </w:rPr>
        <w:tab/>
        <w:t>Authority</w:t>
      </w:r>
    </w:p>
    <w:p w14:paraId="0AEFB612" w14:textId="77777777" w:rsidR="004801C9" w:rsidRDefault="004801C9" w:rsidP="004801C9">
      <w:pPr>
        <w:rPr>
          <w:lang w:val="en-AU" w:eastAsia="en-GB" w:bidi="ar-SA"/>
        </w:rPr>
      </w:pPr>
    </w:p>
    <w:p w14:paraId="29287508" w14:textId="77777777" w:rsidR="004801C9" w:rsidRDefault="004801C9" w:rsidP="004801C9">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Section 13 of the </w:t>
      </w:r>
      <w:r>
        <w:rPr>
          <w:rFonts w:eastAsia="Calibri" w:cs="Arial"/>
          <w:bCs/>
          <w:i/>
          <w:szCs w:val="22"/>
          <w:lang w:val="en-AU" w:bidi="ar-SA"/>
        </w:rPr>
        <w:t>Food Standards Australia New Zealand Act 1991</w:t>
      </w:r>
      <w:r>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Pr>
          <w:rFonts w:eastAsia="Calibri" w:cs="Arial"/>
          <w:bCs/>
          <w:i/>
          <w:szCs w:val="22"/>
          <w:lang w:val="en-AU" w:bidi="ar-SA"/>
        </w:rPr>
        <w:t>Australia New Zealand Food Standards Code</w:t>
      </w:r>
      <w:r>
        <w:rPr>
          <w:rFonts w:eastAsia="Calibri" w:cs="Arial"/>
          <w:bCs/>
          <w:szCs w:val="22"/>
          <w:lang w:val="en-AU" w:bidi="ar-SA"/>
        </w:rPr>
        <w:t xml:space="preserve"> (the Code).</w:t>
      </w:r>
    </w:p>
    <w:p w14:paraId="101E78FE" w14:textId="77777777" w:rsidR="004801C9" w:rsidRDefault="004801C9" w:rsidP="004801C9">
      <w:pPr>
        <w:widowControl/>
        <w:autoSpaceDE w:val="0"/>
        <w:autoSpaceDN w:val="0"/>
        <w:adjustRightInd w:val="0"/>
        <w:rPr>
          <w:rFonts w:eastAsia="Calibri" w:cs="Arial"/>
          <w:bCs/>
          <w:szCs w:val="22"/>
          <w:lang w:val="en-AU" w:bidi="ar-SA"/>
        </w:rPr>
      </w:pPr>
    </w:p>
    <w:p w14:paraId="7C146DE1" w14:textId="77777777" w:rsidR="004801C9" w:rsidRDefault="004801C9" w:rsidP="004801C9">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6C84720" w14:textId="77777777" w:rsidR="004801C9" w:rsidRDefault="004801C9" w:rsidP="004801C9">
      <w:pPr>
        <w:widowControl/>
        <w:autoSpaceDE w:val="0"/>
        <w:autoSpaceDN w:val="0"/>
        <w:adjustRightInd w:val="0"/>
        <w:rPr>
          <w:rFonts w:eastAsia="Calibri" w:cs="Arial"/>
          <w:bCs/>
          <w:szCs w:val="22"/>
          <w:lang w:val="en-AU" w:bidi="ar-SA"/>
        </w:rPr>
      </w:pPr>
    </w:p>
    <w:p w14:paraId="39E90DBF" w14:textId="47BB326F" w:rsidR="004801C9" w:rsidRDefault="004801C9" w:rsidP="004801C9">
      <w:pPr>
        <w:rPr>
          <w:rFonts w:eastAsia="Calibri" w:cs="Arial"/>
          <w:bCs/>
          <w:szCs w:val="22"/>
          <w:lang w:val="en-AU" w:bidi="ar-SA"/>
        </w:rPr>
      </w:pPr>
      <w:r>
        <w:rPr>
          <w:rFonts w:eastAsia="Calibri" w:cs="Arial"/>
          <w:bCs/>
          <w:szCs w:val="22"/>
          <w:lang w:val="en-AU" w:bidi="ar-SA"/>
        </w:rPr>
        <w:t xml:space="preserve">FSANZ accepted application A1155 which </w:t>
      </w:r>
      <w:r w:rsidR="00EC5F9D">
        <w:rPr>
          <w:rFonts w:eastAsia="Calibri" w:cs="Arial"/>
          <w:bCs/>
          <w:szCs w:val="22"/>
          <w:lang w:val="en-AU" w:bidi="ar-SA"/>
        </w:rPr>
        <w:t xml:space="preserve">sought </w:t>
      </w:r>
      <w:r>
        <w:rPr>
          <w:rFonts w:eastAsia="Calibri" w:cs="Arial"/>
          <w:bCs/>
          <w:szCs w:val="22"/>
          <w:lang w:val="en-AU" w:bidi="ar-SA"/>
        </w:rPr>
        <w:t xml:space="preserve">to </w:t>
      </w:r>
      <w:r>
        <w:rPr>
          <w:szCs w:val="22"/>
        </w:rPr>
        <w:t>permit the voluntary addition of 2′-O-fucosyllactose (2′-FL) alone or in combination with Lacto-N-neotetraose (LNnT), produced by microbial fermentation, to infant formula products and formulated supplementary foods for young children (FSFYC).</w:t>
      </w:r>
      <w:r>
        <w:rPr>
          <w:rFonts w:eastAsia="Calibri" w:cs="Arial"/>
          <w:bCs/>
          <w:szCs w:val="22"/>
          <w:lang w:val="en-AU" w:bidi="ar-SA"/>
        </w:rPr>
        <w:t xml:space="preserve"> The Authority considered the </w:t>
      </w:r>
      <w:r w:rsidR="00EC5F9D">
        <w:rPr>
          <w:rFonts w:eastAsia="Calibri" w:cs="Arial"/>
          <w:bCs/>
          <w:szCs w:val="22"/>
          <w:lang w:val="en-AU" w:bidi="ar-SA"/>
        </w:rPr>
        <w:t>A</w:t>
      </w:r>
      <w:r>
        <w:rPr>
          <w:rFonts w:eastAsia="Calibri" w:cs="Arial"/>
          <w:bCs/>
          <w:szCs w:val="22"/>
          <w:lang w:val="en-AU" w:bidi="ar-SA"/>
        </w:rPr>
        <w:t xml:space="preserve">pplication in accordance with Division 1 of Part 3 and has </w:t>
      </w:r>
      <w:r w:rsidR="00EC5F9D">
        <w:rPr>
          <w:rFonts w:eastAsia="Calibri" w:cs="Arial"/>
          <w:bCs/>
          <w:szCs w:val="22"/>
          <w:lang w:val="en-AU" w:bidi="ar-SA"/>
        </w:rPr>
        <w:t xml:space="preserve">approved </w:t>
      </w:r>
      <w:r>
        <w:rPr>
          <w:rFonts w:eastAsia="Calibri" w:cs="Arial"/>
          <w:bCs/>
          <w:szCs w:val="22"/>
          <w:lang w:val="en-AU" w:bidi="ar-SA"/>
        </w:rPr>
        <w:t xml:space="preserve">a draft variation to the Code. </w:t>
      </w:r>
    </w:p>
    <w:p w14:paraId="0F988EA4" w14:textId="571FA263" w:rsidR="00EC5F9D" w:rsidRDefault="00EC5F9D" w:rsidP="004801C9">
      <w:pPr>
        <w:rPr>
          <w:rFonts w:eastAsia="Calibri" w:cs="Arial"/>
          <w:bCs/>
          <w:szCs w:val="22"/>
          <w:lang w:val="en-AU" w:bidi="ar-SA"/>
        </w:rPr>
      </w:pPr>
    </w:p>
    <w:p w14:paraId="77E1A7CB" w14:textId="77777777" w:rsidR="00EC5F9D" w:rsidRPr="00D13E34" w:rsidRDefault="00EC5F9D" w:rsidP="00EC5F9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26EF1D3F" w14:textId="77777777" w:rsidR="00EC5F9D" w:rsidRPr="00D13E34" w:rsidRDefault="00EC5F9D" w:rsidP="00EC5F9D">
      <w:pPr>
        <w:widowControl/>
        <w:autoSpaceDE w:val="0"/>
        <w:autoSpaceDN w:val="0"/>
        <w:adjustRightInd w:val="0"/>
        <w:rPr>
          <w:rFonts w:eastAsia="Calibri" w:cs="Arial"/>
          <w:bCs/>
          <w:szCs w:val="22"/>
          <w:lang w:val="en-AU" w:bidi="ar-SA"/>
        </w:rPr>
      </w:pPr>
    </w:p>
    <w:p w14:paraId="3E41AF29" w14:textId="77777777" w:rsidR="00EC5F9D" w:rsidRPr="00D13E34" w:rsidRDefault="00EC5F9D" w:rsidP="00EC5F9D">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CC1251D" w14:textId="77777777" w:rsidR="004801C9" w:rsidRDefault="004801C9" w:rsidP="004801C9">
      <w:pPr>
        <w:widowControl/>
        <w:autoSpaceDE w:val="0"/>
        <w:autoSpaceDN w:val="0"/>
        <w:adjustRightInd w:val="0"/>
        <w:rPr>
          <w:rFonts w:eastAsia="Calibri" w:cs="Arial"/>
          <w:bCs/>
          <w:szCs w:val="22"/>
          <w:lang w:val="en-AU" w:bidi="ar-SA"/>
        </w:rPr>
      </w:pPr>
    </w:p>
    <w:p w14:paraId="58B9A35F" w14:textId="77777777" w:rsidR="004801C9" w:rsidRDefault="004801C9" w:rsidP="004801C9">
      <w:pPr>
        <w:rPr>
          <w:b/>
          <w:lang w:val="en-AU" w:eastAsia="en-GB" w:bidi="ar-SA"/>
        </w:rPr>
      </w:pPr>
      <w:r>
        <w:rPr>
          <w:b/>
          <w:lang w:val="en-AU" w:eastAsia="en-GB" w:bidi="ar-SA"/>
        </w:rPr>
        <w:t>2.</w:t>
      </w:r>
      <w:r>
        <w:rPr>
          <w:b/>
          <w:lang w:val="en-AU" w:eastAsia="en-GB" w:bidi="ar-SA"/>
        </w:rPr>
        <w:tab/>
        <w:t xml:space="preserve">Purpose </w:t>
      </w:r>
    </w:p>
    <w:p w14:paraId="64BD6B8C" w14:textId="77777777" w:rsidR="004801C9" w:rsidRDefault="004801C9" w:rsidP="004801C9">
      <w:pPr>
        <w:rPr>
          <w:lang w:val="en-AU" w:eastAsia="en-GB" w:bidi="ar-SA"/>
        </w:rPr>
      </w:pPr>
    </w:p>
    <w:p w14:paraId="51D3B340" w14:textId="04891B6E" w:rsidR="004801C9" w:rsidRDefault="004801C9" w:rsidP="004801C9">
      <w:pPr>
        <w:rPr>
          <w:lang w:val="en-AU" w:eastAsia="en-GB" w:bidi="ar-SA"/>
        </w:rPr>
      </w:pPr>
      <w:r>
        <w:rPr>
          <w:lang w:val="en-AU" w:eastAsia="en-GB" w:bidi="ar-SA"/>
        </w:rPr>
        <w:t>The Authority has prepared a draft variation to</w:t>
      </w:r>
      <w:r w:rsidR="00EC5F9D">
        <w:rPr>
          <w:lang w:val="en-AU" w:eastAsia="en-GB" w:bidi="ar-SA"/>
        </w:rPr>
        <w:t xml:space="preserve"> the Code to</w:t>
      </w:r>
      <w:r>
        <w:rPr>
          <w:lang w:val="en-AU" w:eastAsia="en-GB" w:bidi="ar-SA"/>
        </w:rPr>
        <w:t>:</w:t>
      </w:r>
      <w:r w:rsidR="00EC5F9D">
        <w:rPr>
          <w:lang w:val="en-AU" w:eastAsia="en-GB" w:bidi="ar-SA"/>
        </w:rPr>
        <w:br/>
      </w:r>
    </w:p>
    <w:p w14:paraId="41906C7A" w14:textId="77777777" w:rsidR="004801C9" w:rsidRDefault="004801C9" w:rsidP="004801C9">
      <w:pPr>
        <w:pStyle w:val="FSBullet1"/>
        <w:numPr>
          <w:ilvl w:val="0"/>
          <w:numId w:val="40"/>
        </w:numPr>
        <w:ind w:left="567" w:hanging="567"/>
      </w:pPr>
      <w:r>
        <w:t xml:space="preserve">Amend Schedule 26 to permit 2′-FL and LNnT derived from specific microbial sources for use in infant formula products and FSFYC; and to provide an exclusive use period of 15 months for the applicant’s brand of 2′-FL and LNnT.  </w:t>
      </w:r>
    </w:p>
    <w:p w14:paraId="5C9E5012" w14:textId="77777777" w:rsidR="004801C9" w:rsidRDefault="004801C9" w:rsidP="004801C9">
      <w:pPr>
        <w:pStyle w:val="FSBullet1"/>
        <w:numPr>
          <w:ilvl w:val="0"/>
          <w:numId w:val="40"/>
        </w:numPr>
        <w:ind w:left="567" w:hanging="567"/>
      </w:pPr>
      <w:r>
        <w:rPr>
          <w:lang w:val="en-AU" w:eastAsia="en-GB"/>
        </w:rPr>
        <w:t>Amend Schedule 29 to</w:t>
      </w:r>
      <w:r>
        <w:t xml:space="preserve"> permit the same 2′-FL alone or combined with LNnT for use as nutritive substances in infant formula products and FSFYC, within specified maximum levels. </w:t>
      </w:r>
    </w:p>
    <w:p w14:paraId="4072B4E1" w14:textId="77777777" w:rsidR="004801C9" w:rsidRDefault="004801C9" w:rsidP="004801C9">
      <w:pPr>
        <w:pStyle w:val="FSBullet1"/>
        <w:numPr>
          <w:ilvl w:val="0"/>
          <w:numId w:val="40"/>
        </w:numPr>
        <w:ind w:left="567" w:hanging="567"/>
      </w:pPr>
      <w:r>
        <w:rPr>
          <w:szCs w:val="22"/>
        </w:rPr>
        <w:t>Amend Standards 2.9.1 and 2.9.3 to prohibit certain representations (e.g. ‘human milk identical oligosaccharide’) on labels of infant formula products and FSFYC; and to prohibit the use of 2′-FL alone or with LNnT, in combination with existing permissions for ITF and GOS.</w:t>
      </w:r>
    </w:p>
    <w:p w14:paraId="0B91FCA0" w14:textId="77777777" w:rsidR="004801C9" w:rsidRDefault="004801C9" w:rsidP="004801C9">
      <w:pPr>
        <w:pStyle w:val="FSBullet1"/>
        <w:numPr>
          <w:ilvl w:val="0"/>
          <w:numId w:val="40"/>
        </w:numPr>
        <w:ind w:left="567" w:hanging="567"/>
      </w:pPr>
      <w:r>
        <w:rPr>
          <w:szCs w:val="22"/>
        </w:rPr>
        <w:t>Insert prescribed specifications for 2′-FL and LNnT into Schedule 3.</w:t>
      </w:r>
    </w:p>
    <w:p w14:paraId="7A953447" w14:textId="77777777" w:rsidR="004801C9" w:rsidRDefault="004801C9" w:rsidP="004801C9">
      <w:pPr>
        <w:pStyle w:val="FSBullet1"/>
        <w:numPr>
          <w:ilvl w:val="0"/>
          <w:numId w:val="40"/>
        </w:numPr>
        <w:ind w:left="567" w:hanging="567"/>
      </w:pPr>
      <w:r>
        <w:rPr>
          <w:szCs w:val="22"/>
        </w:rPr>
        <w:t xml:space="preserve">Insert a new unit of measure, as used in the prescribed specifications, in Schedule 2. </w:t>
      </w:r>
    </w:p>
    <w:p w14:paraId="490383CD" w14:textId="77777777" w:rsidR="004801C9" w:rsidRDefault="004801C9" w:rsidP="004801C9">
      <w:pPr>
        <w:rPr>
          <w:lang w:val="en-AU" w:eastAsia="en-GB" w:bidi="ar-SA"/>
        </w:rPr>
      </w:pPr>
    </w:p>
    <w:p w14:paraId="26E41AA1" w14:textId="77777777" w:rsidR="004801C9" w:rsidRDefault="004801C9" w:rsidP="004801C9">
      <w:pPr>
        <w:rPr>
          <w:b/>
          <w:lang w:val="en-AU" w:eastAsia="en-GB" w:bidi="ar-SA"/>
        </w:rPr>
      </w:pPr>
      <w:r>
        <w:rPr>
          <w:b/>
          <w:lang w:val="en-AU" w:eastAsia="en-GB" w:bidi="ar-SA"/>
        </w:rPr>
        <w:t>3.</w:t>
      </w:r>
      <w:r>
        <w:rPr>
          <w:b/>
          <w:lang w:val="en-AU" w:eastAsia="en-GB" w:bidi="ar-SA"/>
        </w:rPr>
        <w:tab/>
        <w:t>Documents incorporated by reference</w:t>
      </w:r>
    </w:p>
    <w:p w14:paraId="17DE4D16" w14:textId="77777777" w:rsidR="004801C9" w:rsidRDefault="004801C9" w:rsidP="004801C9">
      <w:pPr>
        <w:rPr>
          <w:lang w:val="en-AU" w:eastAsia="en-GB" w:bidi="ar-SA"/>
        </w:rPr>
      </w:pPr>
    </w:p>
    <w:p w14:paraId="463FFA1E" w14:textId="77777777" w:rsidR="004801C9" w:rsidRDefault="004801C9" w:rsidP="004801C9">
      <w:pPr>
        <w:widowControl/>
        <w:autoSpaceDE w:val="0"/>
        <w:autoSpaceDN w:val="0"/>
        <w:adjustRightInd w:val="0"/>
        <w:rPr>
          <w:rFonts w:eastAsia="Calibri" w:cs="Arial"/>
          <w:bCs/>
          <w:szCs w:val="22"/>
          <w:lang w:val="en-AU" w:bidi="ar-SA"/>
        </w:rPr>
      </w:pPr>
      <w:r>
        <w:rPr>
          <w:rFonts w:eastAsia="Calibri" w:cs="Arial"/>
          <w:bCs/>
          <w:szCs w:val="22"/>
          <w:lang w:val="en-AU" w:bidi="ar-SA"/>
        </w:rPr>
        <w:t>The variations to food regulatory measures do not incorporate any documents by reference.</w:t>
      </w:r>
    </w:p>
    <w:p w14:paraId="1F6B226C" w14:textId="77777777" w:rsidR="004801C9" w:rsidRDefault="004801C9" w:rsidP="004801C9">
      <w:pPr>
        <w:rPr>
          <w:lang w:val="en-AU" w:eastAsia="en-GB" w:bidi="ar-SA"/>
        </w:rPr>
      </w:pPr>
    </w:p>
    <w:p w14:paraId="6C1454AF" w14:textId="77777777" w:rsidR="004801C9" w:rsidRDefault="004801C9" w:rsidP="004801C9">
      <w:pPr>
        <w:rPr>
          <w:b/>
          <w:lang w:val="en-AU" w:eastAsia="en-GB" w:bidi="ar-SA"/>
        </w:rPr>
      </w:pPr>
      <w:r>
        <w:rPr>
          <w:b/>
          <w:lang w:val="en-AU" w:eastAsia="en-GB" w:bidi="ar-SA"/>
        </w:rPr>
        <w:t>4.</w:t>
      </w:r>
      <w:r>
        <w:rPr>
          <w:b/>
          <w:lang w:val="en-AU" w:eastAsia="en-GB" w:bidi="ar-SA"/>
        </w:rPr>
        <w:tab/>
        <w:t>Consultation</w:t>
      </w:r>
    </w:p>
    <w:p w14:paraId="6301BA67" w14:textId="77777777" w:rsidR="004801C9" w:rsidRDefault="004801C9" w:rsidP="004801C9">
      <w:pPr>
        <w:rPr>
          <w:lang w:val="en-AU" w:eastAsia="en-GB" w:bidi="ar-SA"/>
        </w:rPr>
      </w:pPr>
    </w:p>
    <w:p w14:paraId="5458F2EF" w14:textId="5B0FF062" w:rsidR="004801C9" w:rsidRDefault="004801C9" w:rsidP="004801C9">
      <w:pPr>
        <w:rPr>
          <w:rFonts w:eastAsia="Calibri"/>
          <w:szCs w:val="22"/>
        </w:rPr>
      </w:pPr>
      <w:r>
        <w:rPr>
          <w:szCs w:val="22"/>
        </w:rPr>
        <w:t xml:space="preserve">In accordance with the procedure in Division 1 of Part 3 of the FSANZ Act, </w:t>
      </w:r>
      <w:r>
        <w:rPr>
          <w:rFonts w:eastAsia="Calibri" w:cs="Arial"/>
          <w:bCs/>
          <w:szCs w:val="22"/>
          <w:lang w:val="en-AU" w:bidi="ar-SA"/>
        </w:rPr>
        <w:t>the Authority</w:t>
      </w:r>
      <w:r>
        <w:rPr>
          <w:szCs w:val="22"/>
        </w:rPr>
        <w:t>’s consideration of application A1155 include</w:t>
      </w:r>
      <w:r w:rsidR="007D05F5">
        <w:rPr>
          <w:szCs w:val="22"/>
        </w:rPr>
        <w:t>d</w:t>
      </w:r>
      <w:r>
        <w:rPr>
          <w:szCs w:val="22"/>
        </w:rPr>
        <w:t xml:space="preserve"> two rounds of public comment following an assessment and the preparation of a draft </w:t>
      </w:r>
      <w:r w:rsidR="007A0CF4">
        <w:rPr>
          <w:szCs w:val="22"/>
        </w:rPr>
        <w:t xml:space="preserve">variation </w:t>
      </w:r>
      <w:r>
        <w:rPr>
          <w:szCs w:val="22"/>
        </w:rPr>
        <w:t xml:space="preserve">and associated assessment summaries. </w:t>
      </w:r>
      <w:r w:rsidR="007A0CF4">
        <w:rPr>
          <w:szCs w:val="22"/>
        </w:rPr>
        <w:t xml:space="preserve">Submissions were first called for </w:t>
      </w:r>
      <w:r w:rsidR="007A0CF4">
        <w:t>on 22 November 2018 for a six week consultation period. Submissions on a proposed draft variation were sought on 22 July 2019 for a six week consultation period.</w:t>
      </w:r>
    </w:p>
    <w:p w14:paraId="736C9BC7" w14:textId="77777777" w:rsidR="004801C9" w:rsidRDefault="004801C9" w:rsidP="004801C9">
      <w:pPr>
        <w:rPr>
          <w:rFonts w:eastAsia="Calibri"/>
          <w:lang w:val="en-AU" w:bidi="ar-SA"/>
        </w:rPr>
      </w:pPr>
    </w:p>
    <w:p w14:paraId="28A12325" w14:textId="0F35DC94" w:rsidR="004801C9" w:rsidRDefault="004801C9" w:rsidP="004801C9">
      <w:pPr>
        <w:widowControl/>
        <w:autoSpaceDE w:val="0"/>
        <w:autoSpaceDN w:val="0"/>
        <w:adjustRightInd w:val="0"/>
        <w:rPr>
          <w:rFonts w:cs="Arial"/>
          <w:szCs w:val="22"/>
        </w:rPr>
      </w:pPr>
      <w:r>
        <w:rPr>
          <w:rFonts w:eastAsia="Calibri" w:cs="Arial"/>
          <w:bCs/>
          <w:szCs w:val="22"/>
          <w:lang w:val="en-AU" w:bidi="ar-SA"/>
        </w:rPr>
        <w:t xml:space="preserve">A Regulation Impact Statement was not required because the proposed variations to Standards 2.9.1 and 2.9.3 and Schedules 2, 3, 26 and 29 </w:t>
      </w:r>
      <w:r>
        <w:t>are likely to have a minor impact on business and individuals</w:t>
      </w:r>
      <w:r w:rsidR="009675B0">
        <w:t xml:space="preserve"> (OBPR ID </w:t>
      </w:r>
      <w:r w:rsidR="009675B0" w:rsidRPr="006278F4">
        <w:rPr>
          <w:rFonts w:cs="Arial"/>
        </w:rPr>
        <w:t>23349</w:t>
      </w:r>
      <w:r w:rsidR="009675B0">
        <w:rPr>
          <w:rFonts w:cs="Arial"/>
        </w:rPr>
        <w:t>).</w:t>
      </w:r>
    </w:p>
    <w:p w14:paraId="48CE140A" w14:textId="77777777" w:rsidR="004801C9" w:rsidRDefault="004801C9" w:rsidP="004801C9">
      <w:pPr>
        <w:widowControl/>
        <w:rPr>
          <w:rFonts w:eastAsiaTheme="minorHAnsi" w:cs="Arial"/>
          <w:b/>
          <w:bCs/>
          <w:szCs w:val="22"/>
          <w:lang w:val="en-AU" w:bidi="ar-SA"/>
        </w:rPr>
      </w:pPr>
    </w:p>
    <w:p w14:paraId="4A00696F" w14:textId="77777777" w:rsidR="004801C9" w:rsidRDefault="004801C9" w:rsidP="004801C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CD992B5" w14:textId="77777777" w:rsidR="004801C9" w:rsidRDefault="004801C9" w:rsidP="004801C9">
      <w:pPr>
        <w:rPr>
          <w:rFonts w:eastAsiaTheme="minorHAnsi"/>
          <w:lang w:val="en-AU" w:bidi="ar-SA"/>
        </w:rPr>
      </w:pPr>
    </w:p>
    <w:p w14:paraId="11DDD2E5" w14:textId="77777777" w:rsidR="004801C9" w:rsidRDefault="004801C9" w:rsidP="004801C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5F043F5" w14:textId="77777777" w:rsidR="004801C9" w:rsidRDefault="004801C9" w:rsidP="004801C9">
      <w:pPr>
        <w:rPr>
          <w:rFonts w:eastAsiaTheme="minorHAnsi"/>
          <w:lang w:val="en-AU" w:bidi="ar-SA"/>
        </w:rPr>
      </w:pPr>
    </w:p>
    <w:p w14:paraId="6D6BBA49" w14:textId="77777777" w:rsidR="004801C9" w:rsidRDefault="004801C9" w:rsidP="004801C9">
      <w:pPr>
        <w:rPr>
          <w:b/>
          <w:lang w:val="en-AU" w:eastAsia="en-GB" w:bidi="ar-SA"/>
        </w:rPr>
      </w:pPr>
      <w:r>
        <w:rPr>
          <w:b/>
        </w:rPr>
        <w:t>6.</w:t>
      </w:r>
      <w:r>
        <w:rPr>
          <w:b/>
        </w:rPr>
        <w:tab/>
      </w:r>
      <w:r>
        <w:rPr>
          <w:b/>
          <w:lang w:val="en-AU" w:eastAsia="en-GB" w:bidi="ar-SA"/>
        </w:rPr>
        <w:t>Variation</w:t>
      </w:r>
    </w:p>
    <w:p w14:paraId="58D669C5" w14:textId="77777777" w:rsidR="004801C9" w:rsidRDefault="004801C9" w:rsidP="004801C9">
      <w:pPr>
        <w:rPr>
          <w:b/>
        </w:rPr>
      </w:pPr>
    </w:p>
    <w:p w14:paraId="34A49018" w14:textId="77777777" w:rsidR="004801C9" w:rsidRDefault="004801C9" w:rsidP="004801C9">
      <w:pPr>
        <w:rPr>
          <w:i/>
        </w:rPr>
      </w:pPr>
      <w:r>
        <w:rPr>
          <w:i/>
        </w:rPr>
        <w:t xml:space="preserve">Item [1] </w:t>
      </w:r>
    </w:p>
    <w:p w14:paraId="2838C748" w14:textId="77777777" w:rsidR="004801C9" w:rsidRDefault="004801C9" w:rsidP="004801C9">
      <w:pPr>
        <w:rPr>
          <w:i/>
        </w:rPr>
      </w:pPr>
    </w:p>
    <w:p w14:paraId="2541D17A" w14:textId="77777777" w:rsidR="004801C9" w:rsidRDefault="004801C9" w:rsidP="004801C9">
      <w:r>
        <w:t>Item [1.1]</w:t>
      </w:r>
      <w:r>
        <w:rPr>
          <w:i/>
        </w:rPr>
        <w:t xml:space="preserve"> </w:t>
      </w:r>
      <w:r>
        <w:t>varies Standard 2.9.1 by omitting the existing section 2.9.1</w:t>
      </w:r>
      <w:r>
        <w:rPr>
          <w:rFonts w:ascii="Helvetica Neue" w:hAnsi="Helvetica Neue"/>
          <w:sz w:val="19"/>
          <w:szCs w:val="19"/>
        </w:rPr>
        <w:t>—</w:t>
      </w:r>
      <w:r>
        <w:t>7 and substituting a new subsection. The new subsection restates the permitted quantities of ITF and GOS in the current subsection, and includes a new requirement which will prohibit an infant formula product to which ITF or GOS are added, from containing 2′-FL alone, or a combination of 2′-FL and LNnT.</w:t>
      </w:r>
    </w:p>
    <w:p w14:paraId="690DF143" w14:textId="77777777" w:rsidR="004801C9" w:rsidRDefault="004801C9" w:rsidP="004801C9"/>
    <w:p w14:paraId="56ED7D2B" w14:textId="756C9B90" w:rsidR="004801C9" w:rsidRDefault="004801C9" w:rsidP="004801C9">
      <w:r>
        <w:t>Item [1.2] varies Standard 2.9.1 by inserting new subparagraphs 2.9.1</w:t>
      </w:r>
      <w:r>
        <w:rPr>
          <w:rFonts w:ascii="Helvetica Neue" w:hAnsi="Helvetica Neue"/>
          <w:sz w:val="19"/>
          <w:szCs w:val="19"/>
        </w:rPr>
        <w:t>—</w:t>
      </w:r>
      <w:r>
        <w:t>24(1)(ca) and (cb). These new subparagraphs will prohibit the use of the words ‘human milk oligosaccharide’, ‘human milk identical oligosaccharide (or any word or words of similar effect), and the use of abbreviations ‘HMO’ or ‘HiMO’ (or any abbreviation having the same or similar effect), on the label on a package of infant formula product</w:t>
      </w:r>
      <w:r w:rsidR="007D05F5">
        <w:t xml:space="preserve"> (i.e. not used in associated with ‘human milk’ or ‘human milk identical’) on the label on a package of an infant formula product</w:t>
      </w:r>
      <w:r>
        <w:t xml:space="preserve">. </w:t>
      </w:r>
    </w:p>
    <w:p w14:paraId="6FE7AEB0" w14:textId="77777777" w:rsidR="004801C9" w:rsidRDefault="004801C9" w:rsidP="004801C9"/>
    <w:p w14:paraId="26258E80" w14:textId="77777777" w:rsidR="004801C9" w:rsidRDefault="004801C9" w:rsidP="004801C9">
      <w:r>
        <w:rPr>
          <w:i/>
        </w:rPr>
        <w:t xml:space="preserve">Item [2] </w:t>
      </w:r>
    </w:p>
    <w:p w14:paraId="09D88205" w14:textId="77777777" w:rsidR="004801C9" w:rsidRDefault="004801C9" w:rsidP="004801C9"/>
    <w:p w14:paraId="5200B229" w14:textId="77777777" w:rsidR="004801C9" w:rsidRDefault="004801C9" w:rsidP="004801C9">
      <w:pPr>
        <w:rPr>
          <w:color w:val="00B050"/>
        </w:rPr>
      </w:pPr>
      <w:r>
        <w:t>Item [2.1]</w:t>
      </w:r>
      <w:r>
        <w:rPr>
          <w:i/>
        </w:rPr>
        <w:t xml:space="preserve"> </w:t>
      </w:r>
      <w:r>
        <w:t>varies Standard 2.9.3 by inserting a new subsection 2.9.3</w:t>
      </w:r>
      <w:r>
        <w:rPr>
          <w:rFonts w:ascii="Helvetica Neue" w:hAnsi="Helvetica Neue"/>
          <w:sz w:val="19"/>
          <w:szCs w:val="19"/>
        </w:rPr>
        <w:t>—</w:t>
      </w:r>
      <w:r>
        <w:t>7(2A). The effect of this new subsection is to permit substances listed in a new table in section S29</w:t>
      </w:r>
      <w:r>
        <w:rPr>
          <w:rFonts w:ascii="Helvetica Neue" w:hAnsi="Helvetica Neue"/>
          <w:sz w:val="19"/>
          <w:szCs w:val="19"/>
        </w:rPr>
        <w:t>—</w:t>
      </w:r>
      <w:r>
        <w:t xml:space="preserve">15A in Schedule 29 to be </w:t>
      </w:r>
      <w:r>
        <w:rPr>
          <w:i/>
        </w:rPr>
        <w:t>used as a nutritive substance</w:t>
      </w:r>
      <w:r>
        <w:t xml:space="preserve"> in FSFYC (see Item 6.2 below), providing the substance meets the permitted form and maximum levels set in this table. 2′-FL alone, and 2′-FL and LNnT combined, are listed in the new table.</w:t>
      </w:r>
    </w:p>
    <w:p w14:paraId="7FBFBF82" w14:textId="77777777" w:rsidR="004801C9" w:rsidRDefault="004801C9" w:rsidP="004801C9"/>
    <w:p w14:paraId="7A22DEA7" w14:textId="77777777" w:rsidR="004801C9" w:rsidRDefault="004801C9" w:rsidP="004801C9">
      <w:r>
        <w:t>Item [2.2] varies Standard 2.9.3 by omitting the existing subsection 2.9.3</w:t>
      </w:r>
      <w:r>
        <w:rPr>
          <w:rFonts w:ascii="Helvetica Neue" w:hAnsi="Helvetica Neue"/>
          <w:sz w:val="19"/>
          <w:szCs w:val="19"/>
        </w:rPr>
        <w:t>—</w:t>
      </w:r>
      <w:r>
        <w:t>7(3) and substituting a new subsection. The new subsection restates the permitted quantity of ITF and GOS in the current subsection, and includes a new requirement which will prohibit FSFYC to which ITF or GOS are added, from containing 2′-FL alone, or a combination of 2′-FL and LNnT.</w:t>
      </w:r>
    </w:p>
    <w:p w14:paraId="26C49366" w14:textId="77777777" w:rsidR="004801C9" w:rsidRDefault="004801C9" w:rsidP="004801C9"/>
    <w:p w14:paraId="5E5764BA" w14:textId="77777777" w:rsidR="004801C9" w:rsidRDefault="004801C9" w:rsidP="004801C9">
      <w:r>
        <w:t>Item [2.3] varies Standard 2.9.3 by omitting subsection 2.9.3</w:t>
      </w:r>
      <w:r>
        <w:rPr>
          <w:rFonts w:ascii="Helvetica Neue" w:hAnsi="Helvetica Neue"/>
          <w:sz w:val="19"/>
          <w:szCs w:val="19"/>
        </w:rPr>
        <w:t>—</w:t>
      </w:r>
      <w:r>
        <w:t xml:space="preserve">7(4) relating to the permission for lutein to be </w:t>
      </w:r>
      <w:r>
        <w:rPr>
          <w:i/>
        </w:rPr>
        <w:t xml:space="preserve">used as a nutritive substance. </w:t>
      </w:r>
      <w:r>
        <w:t>This permission is relocated to the new table in section S29</w:t>
      </w:r>
      <w:r>
        <w:rPr>
          <w:rFonts w:ascii="Helvetica Neue" w:hAnsi="Helvetica Neue"/>
          <w:sz w:val="19"/>
          <w:szCs w:val="19"/>
        </w:rPr>
        <w:t>—</w:t>
      </w:r>
      <w:r>
        <w:t>15A in Schedule 29 (see Item [2.1] above and Item 6.2 below). This amendment does not change the existing permission and associated conditions for the use of lutein in FSFYC, it only relocates the permission.</w:t>
      </w:r>
    </w:p>
    <w:p w14:paraId="59C02802" w14:textId="77777777" w:rsidR="004801C9" w:rsidRDefault="004801C9" w:rsidP="004801C9"/>
    <w:p w14:paraId="3BCBB8E8" w14:textId="77777777" w:rsidR="004801C9" w:rsidRDefault="004801C9" w:rsidP="004801C9">
      <w:r>
        <w:t>Item [2.4] varies Standard 2.9.3 by omitting subsection 2.9.3</w:t>
      </w:r>
      <w:r>
        <w:rPr>
          <w:rFonts w:ascii="Helvetica Neue" w:hAnsi="Helvetica Neue"/>
          <w:sz w:val="19"/>
          <w:szCs w:val="19"/>
        </w:rPr>
        <w:t>—</w:t>
      </w:r>
      <w:r>
        <w:t xml:space="preserve">8(6) and substituting a new subsection. The new subsection restates the labelling restriction relating to lutein, and includes a new requirement which will prohibit use of the words ‘human milk oligosaccharide’, ‘human milk identical oligosaccharide (or any word or words of similar effect), and the use of abbreviations ‘HMO’ or ‘HiMO’ (or any abbreviation having the same or similar effect), on the label on a package of FSFYC. This amendment is not intended to prohibit the use of the term ‘oligosaccharide’ on its own (i.e. not used in associated with ‘human milk’ or ‘human milk identical’) on the label on a package of FSFYC. </w:t>
      </w:r>
    </w:p>
    <w:p w14:paraId="11817081" w14:textId="77777777" w:rsidR="004801C9" w:rsidRDefault="004801C9" w:rsidP="004801C9"/>
    <w:p w14:paraId="2DC5BEA2" w14:textId="77777777" w:rsidR="004801C9" w:rsidRDefault="004801C9" w:rsidP="004801C9">
      <w:r>
        <w:rPr>
          <w:i/>
        </w:rPr>
        <w:t xml:space="preserve">Item [3] </w:t>
      </w:r>
    </w:p>
    <w:p w14:paraId="162F286B" w14:textId="77777777" w:rsidR="004801C9" w:rsidRDefault="004801C9" w:rsidP="004801C9"/>
    <w:p w14:paraId="2A2E4300" w14:textId="77777777" w:rsidR="004801C9" w:rsidRDefault="004801C9" w:rsidP="004801C9">
      <w:r>
        <w:t>Item [3] varies Schedule 2 to insert a new unit of measurement EU/mg (endotoxin unit per milligram), as used in the new specifications in Schedule 3 (see Item [4] below).</w:t>
      </w:r>
    </w:p>
    <w:p w14:paraId="147775B1" w14:textId="77777777" w:rsidR="004801C9" w:rsidRDefault="004801C9" w:rsidP="004801C9">
      <w:r>
        <w:rPr>
          <w:i/>
        </w:rPr>
        <w:t xml:space="preserve">Item [4] </w:t>
      </w:r>
    </w:p>
    <w:p w14:paraId="45EAC5B7" w14:textId="77777777" w:rsidR="004801C9" w:rsidRDefault="004801C9" w:rsidP="004801C9"/>
    <w:p w14:paraId="5AAFE315" w14:textId="77777777" w:rsidR="004801C9" w:rsidRDefault="004801C9" w:rsidP="004801C9">
      <w:r>
        <w:t>Item [4] varies Schedule 3 to insert new specifications for 2′-FL (new section S3</w:t>
      </w:r>
      <w:r>
        <w:rPr>
          <w:rFonts w:ascii="Helvetica Neue" w:hAnsi="Helvetica Neue"/>
          <w:sz w:val="19"/>
          <w:szCs w:val="19"/>
        </w:rPr>
        <w:t>—</w:t>
      </w:r>
      <w:r>
        <w:t>40) and LNnT (new section S3</w:t>
      </w:r>
      <w:r>
        <w:rPr>
          <w:rFonts w:ascii="Helvetica Neue" w:hAnsi="Helvetica Neue"/>
          <w:sz w:val="19"/>
          <w:szCs w:val="19"/>
        </w:rPr>
        <w:t>—</w:t>
      </w:r>
      <w:r>
        <w:t>41).</w:t>
      </w:r>
    </w:p>
    <w:p w14:paraId="28A78229" w14:textId="77777777" w:rsidR="004801C9" w:rsidRDefault="004801C9" w:rsidP="004801C9">
      <w:pPr>
        <w:rPr>
          <w:i/>
        </w:rPr>
      </w:pPr>
    </w:p>
    <w:p w14:paraId="3D391717" w14:textId="77777777" w:rsidR="004801C9" w:rsidRDefault="004801C9" w:rsidP="004801C9">
      <w:r>
        <w:rPr>
          <w:i/>
        </w:rPr>
        <w:t xml:space="preserve">Item [5] </w:t>
      </w:r>
    </w:p>
    <w:p w14:paraId="5237B009" w14:textId="77777777" w:rsidR="004801C9" w:rsidRDefault="004801C9" w:rsidP="004801C9"/>
    <w:p w14:paraId="3D692B93" w14:textId="77777777" w:rsidR="004801C9" w:rsidRDefault="004801C9" w:rsidP="004801C9">
      <w:r>
        <w:t xml:space="preserve">Item [5] varies Schedule 26 to insert a new table under a new subsection (7) with the heading </w:t>
      </w:r>
      <w:r>
        <w:rPr>
          <w:i/>
        </w:rPr>
        <w:t>Food produced using gene technology of microbial origin</w:t>
      </w:r>
      <w:r>
        <w:t>. This new table lists 2′-FL and LNnT from permitted microbial sources. This amendment will not amend the existing approvals currently listed in the table to subsection (4), or change the requirements for pre-market assessment and approval of GM foods. The detailed amendments made to this Schedule are discussed below.</w:t>
      </w:r>
    </w:p>
    <w:p w14:paraId="06B98C3C" w14:textId="77777777" w:rsidR="004801C9" w:rsidRDefault="004801C9" w:rsidP="004801C9"/>
    <w:p w14:paraId="17458782" w14:textId="77777777" w:rsidR="004801C9" w:rsidRDefault="004801C9" w:rsidP="004801C9">
      <w:r>
        <w:t>Item [5.1] omits subsections 26</w:t>
      </w:r>
      <w:r>
        <w:rPr>
          <w:rFonts w:ascii="Helvetica Neue" w:hAnsi="Helvetica Neue"/>
          <w:sz w:val="19"/>
          <w:szCs w:val="19"/>
        </w:rPr>
        <w:t>—</w:t>
      </w:r>
      <w:r>
        <w:t xml:space="preserve">3(1), (2), (2A) and (3) and substitutes a new subsection. New subsection (1) specifies that the existing table to subsection (4) and the new table to subsection (7) lists permitted food produced using gene technology. New subsections (2), (2A) and (3) restate the existing labelling requirements, but now specify that these apply to the existing table to subsection (4). </w:t>
      </w:r>
    </w:p>
    <w:p w14:paraId="616C320F" w14:textId="77777777" w:rsidR="004801C9" w:rsidRDefault="004801C9" w:rsidP="004801C9"/>
    <w:p w14:paraId="0EC94D42" w14:textId="77777777" w:rsidR="004801C9" w:rsidRDefault="004801C9" w:rsidP="004801C9">
      <w:r>
        <w:t xml:space="preserve">Item [5.2] omits the words ‘gene technology’ from the heading of the existing table to subsection (4) and replaces this with the words ‘gene technology of plant origin’ (i.e. the full table heading will now be </w:t>
      </w:r>
      <w:r>
        <w:rPr>
          <w:i/>
        </w:rPr>
        <w:t>Food produced using gene technology of plant origin</w:t>
      </w:r>
      <w:r>
        <w:t>)</w:t>
      </w:r>
      <w:r>
        <w:rPr>
          <w:i/>
        </w:rPr>
        <w:t xml:space="preserve">. </w:t>
      </w:r>
      <w:r>
        <w:t xml:space="preserve">This amendment clarifies that permissions in the existing table to subsection (4) relate to food of plant origin, to distinguish these from the new permissions for 2′-FL and LNnT which are food of microbial origin (new table to subsection (7)). </w:t>
      </w:r>
    </w:p>
    <w:p w14:paraId="5BA58E5A" w14:textId="77777777" w:rsidR="004801C9" w:rsidRDefault="004801C9" w:rsidP="004801C9"/>
    <w:p w14:paraId="7953076E" w14:textId="729A37E5" w:rsidR="004801C9" w:rsidRDefault="004801C9" w:rsidP="004801C9">
      <w:r>
        <w:t>Item [5.3] inserts new subsections 26</w:t>
      </w:r>
      <w:r>
        <w:rPr>
          <w:rFonts w:ascii="Helvetica Neue" w:hAnsi="Helvetica Neue"/>
          <w:sz w:val="19"/>
          <w:szCs w:val="19"/>
        </w:rPr>
        <w:t>—</w:t>
      </w:r>
      <w:r>
        <w:t>3(5), (6) and (7). Subsection (7) inserts a new table (</w:t>
      </w:r>
      <w:r>
        <w:rPr>
          <w:i/>
        </w:rPr>
        <w:t>Food produced using gene technology of microbial origin</w:t>
      </w:r>
      <w:r>
        <w:t xml:space="preserve">) which lists 2′-FL and LNnT sourced from specific gene-gene donor information. Subsections (5) and (6) require that a food listed in this new table must comply with any corresponding conditions listed in the table, and that the source listed in the table may contain additional copies of genes from the same strain. The new table includes the condition that 2′-FL and LNnT </w:t>
      </w:r>
      <w:r w:rsidR="007D05F5">
        <w:t>are</w:t>
      </w:r>
      <w:r>
        <w:t xml:space="preserve"> only permitted to be added to infant formula products and FSFYC. It also includes the condition that, during the ‘exclusive use period’, 2′-FL and LNnT from the permitted source listed may only be sold under the brand name ‘GlyCare’. ‘Exclusive use period’ is defined to be the period commencing on the date of gazettal of the variation, and ending 15 months after that date. This means that the new permission will apply exclusively to 2′-FL and LNnT as listed in Schedule 26, under the brand ‘GlyCare’. Once this period ends, the exclusive use permission will revert to a general permission, meaning that the permission will apply to all brands of 2′-FL and LNnT that meet the specific source and associated specifications in Schedule 3. </w:t>
      </w:r>
    </w:p>
    <w:p w14:paraId="01510704" w14:textId="77777777" w:rsidR="004801C9" w:rsidRDefault="004801C9" w:rsidP="004801C9"/>
    <w:p w14:paraId="1C86E844" w14:textId="77777777" w:rsidR="004801C9" w:rsidRDefault="004801C9" w:rsidP="004801C9">
      <w:r>
        <w:rPr>
          <w:i/>
        </w:rPr>
        <w:t xml:space="preserve">Item [6] </w:t>
      </w:r>
    </w:p>
    <w:p w14:paraId="7E893AF0" w14:textId="77777777" w:rsidR="004801C9" w:rsidRDefault="004801C9" w:rsidP="004801C9"/>
    <w:p w14:paraId="71A70468" w14:textId="664F8F7E" w:rsidR="004801C9" w:rsidRDefault="004801C9" w:rsidP="004801C9">
      <w:r>
        <w:t>Item [6.1] varies Schedule 29 by omitting section 29</w:t>
      </w:r>
      <w:r>
        <w:rPr>
          <w:rFonts w:ascii="Helvetica Neue" w:hAnsi="Helvetica Neue"/>
          <w:sz w:val="19"/>
          <w:szCs w:val="19"/>
        </w:rPr>
        <w:t>—</w:t>
      </w:r>
      <w:r>
        <w:t>5 and substituting a new section to add 2′-FL, and 2′-FL combined with LNnT, in the table to this section as new substances permitted for use as nutritive substances in infant formula products. 2′-FL and LNnT listed in this table are linked to these substances permitted for use by Standard 1.5.2 (</w:t>
      </w:r>
      <w:r>
        <w:rPr>
          <w:i/>
        </w:rPr>
        <w:t>Food produced using gene technology</w:t>
      </w:r>
      <w:r>
        <w:t>)</w:t>
      </w:r>
      <w:r>
        <w:rPr>
          <w:i/>
        </w:rPr>
        <w:t xml:space="preserve">. </w:t>
      </w:r>
      <w:r>
        <w:t>This means that only 2′-FL and LNnT derived from the microbial sources listed in Schedule 26 (table to subsection 26</w:t>
      </w:r>
      <w:r>
        <w:rPr>
          <w:rFonts w:ascii="Helvetica Neue" w:hAnsi="Helvetica Neue"/>
          <w:sz w:val="19"/>
          <w:szCs w:val="19"/>
        </w:rPr>
        <w:t>—</w:t>
      </w:r>
      <w:r>
        <w:t xml:space="preserve">3(7)) </w:t>
      </w:r>
      <w:r w:rsidR="007D05F5">
        <w:t>are</w:t>
      </w:r>
      <w:r>
        <w:t xml:space="preserve"> permitted for use in infant formula products. The permission in section 29</w:t>
      </w:r>
      <w:r>
        <w:rPr>
          <w:rFonts w:ascii="Helvetica Neue" w:hAnsi="Helvetica Neue"/>
          <w:sz w:val="19"/>
          <w:szCs w:val="19"/>
        </w:rPr>
        <w:t>—</w:t>
      </w:r>
      <w:r>
        <w:t>5 also lists permitted forms, and require</w:t>
      </w:r>
      <w:r w:rsidR="007D05F5">
        <w:t>s</w:t>
      </w:r>
      <w:r>
        <w:t xml:space="preserve"> infant formula products to contain not more than 96 mg/100 kJ of 2′-FL; and not more than 96 mg/100 kJ of 2′-FL and LNnT combined (of which contains not more than 24 mg/100 kJ of LNnT). A minimum amount is not set, as this was not requested in the application and has not been determined by FSANZ. </w:t>
      </w:r>
    </w:p>
    <w:p w14:paraId="2F60EBB7" w14:textId="77777777" w:rsidR="004801C9" w:rsidRDefault="004801C9" w:rsidP="004801C9"/>
    <w:p w14:paraId="343F8E8B" w14:textId="77777777" w:rsidR="004801C9" w:rsidRDefault="004801C9" w:rsidP="004801C9">
      <w:r>
        <w:t>Item [6.2] varies Schedule 29 by inserting a new section S29</w:t>
      </w:r>
      <w:r>
        <w:rPr>
          <w:rFonts w:ascii="Helvetica Neue" w:hAnsi="Helvetica Neue"/>
          <w:sz w:val="19"/>
          <w:szCs w:val="19"/>
        </w:rPr>
        <w:t>—</w:t>
      </w:r>
      <w:r>
        <w:t>15A containing a table (as referred to in subsection 2.9.3</w:t>
      </w:r>
      <w:r>
        <w:rPr>
          <w:rFonts w:ascii="Helvetica Neue" w:hAnsi="Helvetica Neue"/>
          <w:sz w:val="19"/>
          <w:szCs w:val="19"/>
        </w:rPr>
        <w:t>—</w:t>
      </w:r>
      <w:r>
        <w:t>7(2A) under Item 2.1 above). This new table lists other substances permitted for use as nutritive substances in FSFYC (i.e. substances which are additional to the vitamins and minerals currently permitted to be used as nutritive substances in FSFYC in S29</w:t>
      </w:r>
      <w:r>
        <w:rPr>
          <w:rFonts w:ascii="Helvetica Neue" w:hAnsi="Helvetica Neue"/>
          <w:sz w:val="19"/>
          <w:szCs w:val="19"/>
        </w:rPr>
        <w:t>—</w:t>
      </w:r>
      <w:r>
        <w:t>15). 2′-FL alone, and 2′-FL and LNnT combined are listed in this table, along with the existing permission for lutein (relocated from existing section 2.9.3</w:t>
      </w:r>
      <w:r>
        <w:rPr>
          <w:rFonts w:ascii="Helvetica Neue" w:hAnsi="Helvetica Neue"/>
          <w:sz w:val="19"/>
          <w:szCs w:val="19"/>
        </w:rPr>
        <w:t>—</w:t>
      </w:r>
      <w:r>
        <w:t>7(4), see Item 2.3 above). 2′-FL and LNnT listed in this table are linked to these substances permitted for use by Standard 1.5.2</w:t>
      </w:r>
      <w:r>
        <w:rPr>
          <w:i/>
        </w:rPr>
        <w:t xml:space="preserve">. </w:t>
      </w:r>
      <w:r>
        <w:t>This means that only 2′-FL and LNnT derived from the microbial sources listed in Schedule 26 (table to subsection 26</w:t>
      </w:r>
      <w:r>
        <w:rPr>
          <w:rFonts w:ascii="Helvetica Neue" w:hAnsi="Helvetica Neue"/>
          <w:sz w:val="19"/>
          <w:szCs w:val="19"/>
        </w:rPr>
        <w:t>—</w:t>
      </w:r>
      <w:r>
        <w:t>3(7)) will be permitted for use in FSFYC. The permission in the table in subsection S29</w:t>
      </w:r>
      <w:r>
        <w:rPr>
          <w:rFonts w:ascii="Helvetica Neue" w:hAnsi="Helvetica Neue"/>
          <w:sz w:val="19"/>
          <w:szCs w:val="19"/>
        </w:rPr>
        <w:t>—</w:t>
      </w:r>
      <w:r>
        <w:t xml:space="preserve">15A also lists permitted forms, and (in relation to 2′-FL and LNnT) will require FSFYC to contain not more than 0.55 g/serving of 2′-FL; and not more than 0.55 g/serving of 2′-FL and LNnT combined (of which contains not more than 0.14 g/serving of LNnT). A minimum amount is not set, as this was not requested in the application and has not been determined by FSANZ. </w:t>
      </w:r>
    </w:p>
    <w:p w14:paraId="68F3B0D2" w14:textId="428CAAAF" w:rsidR="00BD49FF" w:rsidRPr="00EC66BB" w:rsidRDefault="00BD49FF">
      <w:pPr>
        <w:widowControl/>
      </w:pPr>
      <w:bookmarkStart w:id="186" w:name="_Toc11735637"/>
      <w:bookmarkStart w:id="187" w:name="_Toc29883122"/>
      <w:bookmarkStart w:id="188" w:name="_Toc41906809"/>
      <w:bookmarkStart w:id="189" w:name="_Toc41907556"/>
      <w:bookmarkStart w:id="190" w:name="_Toc120358587"/>
      <w:bookmarkStart w:id="191" w:name="_Toc175381446"/>
      <w:bookmarkStart w:id="192" w:name="_Toc175381454"/>
      <w:bookmarkEnd w:id="175"/>
      <w:bookmarkEnd w:id="176"/>
    </w:p>
    <w:bookmarkEnd w:id="186"/>
    <w:bookmarkEnd w:id="187"/>
    <w:bookmarkEnd w:id="188"/>
    <w:bookmarkEnd w:id="189"/>
    <w:bookmarkEnd w:id="190"/>
    <w:bookmarkEnd w:id="191"/>
    <w:bookmarkEnd w:id="192"/>
    <w:p w14:paraId="346ADACD" w14:textId="0B29A392" w:rsidR="003F56FE" w:rsidRDefault="003F56FE">
      <w:pPr>
        <w:widowControl/>
        <w:rPr>
          <w:rFonts w:cs="Arial"/>
        </w:rPr>
      </w:pPr>
      <w:r>
        <w:rPr>
          <w:rFonts w:cs="Arial"/>
        </w:rPr>
        <w:br w:type="page"/>
      </w:r>
    </w:p>
    <w:p w14:paraId="494635E9" w14:textId="2691313B" w:rsidR="003F56FE" w:rsidRPr="00456BD5" w:rsidRDefault="003F56FE" w:rsidP="003F56FE">
      <w:pPr>
        <w:pStyle w:val="Heading2"/>
        <w:ind w:left="0" w:firstLine="0"/>
      </w:pPr>
      <w:r w:rsidRPr="00932F14">
        <w:t xml:space="preserve">Attachment </w:t>
      </w:r>
      <w:r>
        <w:t xml:space="preserve">C –Draft </w:t>
      </w:r>
      <w:r w:rsidRPr="00932F14">
        <w:t>variation</w:t>
      </w:r>
      <w:r w:rsidRPr="004801C9">
        <w:t xml:space="preserve">s </w:t>
      </w:r>
      <w:r w:rsidRPr="00932F14">
        <w:t>to the</w:t>
      </w:r>
      <w:r w:rsidRPr="00755F02">
        <w:t xml:space="preserve"> </w:t>
      </w:r>
      <w:r w:rsidRPr="00795D86">
        <w:rPr>
          <w:i/>
        </w:rPr>
        <w:t>Australia New Zealand Food Standards Code</w:t>
      </w:r>
      <w:r>
        <w:rPr>
          <w:i/>
        </w:rPr>
        <w:t xml:space="preserve"> </w:t>
      </w:r>
      <w:r w:rsidRPr="003F56FE">
        <w:rPr>
          <w:i/>
        </w:rPr>
        <w:t>(call for submissions)</w:t>
      </w:r>
    </w:p>
    <w:p w14:paraId="258EF7B3" w14:textId="77777777" w:rsidR="003F56FE" w:rsidRDefault="003F56FE" w:rsidP="003F56FE">
      <w:pPr>
        <w:rPr>
          <w:lang w:bidi="ar-SA"/>
        </w:rPr>
      </w:pPr>
    </w:p>
    <w:p w14:paraId="78C14F83" w14:textId="77777777" w:rsidR="003F56FE" w:rsidRDefault="003F56FE" w:rsidP="003F56FE">
      <w:pPr>
        <w:rPr>
          <w:noProof/>
          <w:sz w:val="20"/>
          <w:lang w:val="en-AU" w:eastAsia="en-AU"/>
        </w:rPr>
      </w:pPr>
      <w:r>
        <w:rPr>
          <w:noProof/>
          <w:sz w:val="20"/>
          <w:lang w:eastAsia="en-GB" w:bidi="ar-SA"/>
        </w:rPr>
        <w:drawing>
          <wp:inline distT="0" distB="0" distL="0" distR="0" wp14:anchorId="08B86D72" wp14:editId="264B603E">
            <wp:extent cx="2656840" cy="440055"/>
            <wp:effectExtent l="0" t="0" r="0" b="0"/>
            <wp:docPr id="9" name="Picture 9"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56840" cy="440055"/>
                    </a:xfrm>
                    <a:prstGeom prst="rect">
                      <a:avLst/>
                    </a:prstGeom>
                    <a:noFill/>
                    <a:ln>
                      <a:noFill/>
                    </a:ln>
                  </pic:spPr>
                </pic:pic>
              </a:graphicData>
            </a:graphic>
          </wp:inline>
        </w:drawing>
      </w:r>
    </w:p>
    <w:p w14:paraId="2B144B5A" w14:textId="77777777" w:rsidR="003F56FE" w:rsidRDefault="003F56FE" w:rsidP="003F56FE">
      <w:pPr>
        <w:pBdr>
          <w:bottom w:val="single" w:sz="4" w:space="1" w:color="auto"/>
        </w:pBdr>
        <w:rPr>
          <w:b/>
          <w:bCs/>
        </w:rPr>
      </w:pPr>
    </w:p>
    <w:p w14:paraId="449B91CA" w14:textId="77777777" w:rsidR="003F56FE" w:rsidRDefault="003F56FE" w:rsidP="003F56FE">
      <w:pPr>
        <w:pBdr>
          <w:bottom w:val="single" w:sz="4" w:space="1" w:color="auto"/>
        </w:pBdr>
        <w:rPr>
          <w:b/>
          <w:sz w:val="20"/>
        </w:rPr>
      </w:pPr>
      <w:r>
        <w:rPr>
          <w:b/>
          <w:sz w:val="20"/>
        </w:rPr>
        <w:t>Food Standards (Application A1155 – 2</w:t>
      </w:r>
      <w:r>
        <w:rPr>
          <w:rFonts w:cs="Arial"/>
          <w:b/>
        </w:rPr>
        <w:t>′</w:t>
      </w:r>
      <w:r>
        <w:rPr>
          <w:b/>
          <w:sz w:val="20"/>
        </w:rPr>
        <w:t>-FL and LNnT in infant formula and other products) Variation</w:t>
      </w:r>
    </w:p>
    <w:p w14:paraId="1F34C0E9" w14:textId="77777777" w:rsidR="003F56FE" w:rsidRDefault="003F56FE" w:rsidP="003F56FE">
      <w:pPr>
        <w:pBdr>
          <w:bottom w:val="single" w:sz="4" w:space="1" w:color="auto"/>
        </w:pBdr>
        <w:rPr>
          <w:b/>
          <w:sz w:val="20"/>
        </w:rPr>
      </w:pPr>
    </w:p>
    <w:p w14:paraId="45D96BE8" w14:textId="77777777" w:rsidR="003F56FE" w:rsidRDefault="003F56FE" w:rsidP="003F56FE">
      <w:pPr>
        <w:rPr>
          <w:sz w:val="20"/>
        </w:rPr>
      </w:pPr>
    </w:p>
    <w:p w14:paraId="410D8523" w14:textId="77777777" w:rsidR="003F56FE" w:rsidRDefault="003F56FE" w:rsidP="003F56FE">
      <w:pPr>
        <w:rPr>
          <w:sz w:val="20"/>
        </w:rPr>
      </w:pPr>
      <w:r>
        <w:rPr>
          <w:sz w:val="20"/>
        </w:rPr>
        <w:t xml:space="preserve">The Board of Food Standards Australia New Zealand gives notice of the making of this variation under section 92 of the </w:t>
      </w:r>
      <w:r>
        <w:rPr>
          <w:i/>
          <w:sz w:val="20"/>
        </w:rPr>
        <w:t>Food Standards Australia New Zealand Act 1991</w:t>
      </w:r>
      <w:r>
        <w:rPr>
          <w:sz w:val="20"/>
        </w:rPr>
        <w:t>.  The variation commences on the date specified in clause 3 of this variation.</w:t>
      </w:r>
    </w:p>
    <w:p w14:paraId="3EB97219" w14:textId="77777777" w:rsidR="003F56FE" w:rsidRDefault="003F56FE" w:rsidP="003F56FE">
      <w:pPr>
        <w:rPr>
          <w:sz w:val="20"/>
        </w:rPr>
      </w:pPr>
    </w:p>
    <w:p w14:paraId="6B5AEF83" w14:textId="77777777" w:rsidR="003F56FE" w:rsidRDefault="003F56FE" w:rsidP="003F56FE">
      <w:pPr>
        <w:rPr>
          <w:sz w:val="20"/>
        </w:rPr>
      </w:pPr>
      <w:r>
        <w:rPr>
          <w:sz w:val="20"/>
        </w:rPr>
        <w:t>Dated [To be completed by Delegate]</w:t>
      </w:r>
    </w:p>
    <w:p w14:paraId="1AA36AE7" w14:textId="77777777" w:rsidR="003F56FE" w:rsidRDefault="003F56FE" w:rsidP="003F56FE">
      <w:pPr>
        <w:rPr>
          <w:sz w:val="20"/>
        </w:rPr>
      </w:pPr>
    </w:p>
    <w:p w14:paraId="0A48F291" w14:textId="77777777" w:rsidR="003F56FE" w:rsidRDefault="003F56FE" w:rsidP="003F56FE">
      <w:pPr>
        <w:rPr>
          <w:sz w:val="20"/>
        </w:rPr>
      </w:pPr>
    </w:p>
    <w:p w14:paraId="2B8E6591" w14:textId="77777777" w:rsidR="003F56FE" w:rsidRDefault="003F56FE" w:rsidP="003F56FE">
      <w:pPr>
        <w:rPr>
          <w:sz w:val="20"/>
        </w:rPr>
      </w:pPr>
    </w:p>
    <w:p w14:paraId="10DB2AB2" w14:textId="77777777" w:rsidR="003F56FE" w:rsidRDefault="003F56FE" w:rsidP="003F56FE">
      <w:pPr>
        <w:rPr>
          <w:sz w:val="20"/>
        </w:rPr>
      </w:pPr>
    </w:p>
    <w:p w14:paraId="430198EC" w14:textId="77777777" w:rsidR="003F56FE" w:rsidRDefault="003F56FE" w:rsidP="003F56FE">
      <w:pPr>
        <w:rPr>
          <w:sz w:val="20"/>
        </w:rPr>
      </w:pPr>
    </w:p>
    <w:p w14:paraId="2F5480A9" w14:textId="77777777" w:rsidR="003F56FE" w:rsidRDefault="003F56FE" w:rsidP="003F56FE">
      <w:pPr>
        <w:rPr>
          <w:sz w:val="20"/>
        </w:rPr>
      </w:pPr>
      <w:r>
        <w:rPr>
          <w:sz w:val="20"/>
        </w:rPr>
        <w:t>[Insert name of Delegate]</w:t>
      </w:r>
    </w:p>
    <w:p w14:paraId="57D88E96" w14:textId="77777777" w:rsidR="003F56FE" w:rsidRDefault="003F56FE" w:rsidP="003F56FE">
      <w:pPr>
        <w:rPr>
          <w:sz w:val="20"/>
        </w:rPr>
      </w:pPr>
      <w:r>
        <w:rPr>
          <w:sz w:val="20"/>
        </w:rPr>
        <w:t>Delegate of the Board of Food Standards Australia New Zealand</w:t>
      </w:r>
    </w:p>
    <w:p w14:paraId="29E2FD5D" w14:textId="77777777" w:rsidR="003F56FE" w:rsidRDefault="003F56FE" w:rsidP="003F56FE">
      <w:pPr>
        <w:rPr>
          <w:sz w:val="20"/>
        </w:rPr>
      </w:pPr>
    </w:p>
    <w:p w14:paraId="041EAFB5" w14:textId="77777777" w:rsidR="003F56FE" w:rsidRDefault="003F56FE" w:rsidP="003F56FE">
      <w:pPr>
        <w:rPr>
          <w:sz w:val="20"/>
        </w:rPr>
      </w:pPr>
    </w:p>
    <w:p w14:paraId="28475AD8" w14:textId="77777777" w:rsidR="003F56FE" w:rsidRDefault="003F56FE" w:rsidP="003F56FE">
      <w:pPr>
        <w:rPr>
          <w:sz w:val="20"/>
        </w:rPr>
      </w:pPr>
    </w:p>
    <w:p w14:paraId="5474CAC3" w14:textId="77777777" w:rsidR="003F56FE" w:rsidRDefault="003F56FE" w:rsidP="003F56FE">
      <w:pPr>
        <w:rPr>
          <w:sz w:val="20"/>
        </w:rPr>
      </w:pPr>
    </w:p>
    <w:p w14:paraId="1F9380D2" w14:textId="77777777" w:rsidR="003F56FE" w:rsidRDefault="003F56FE" w:rsidP="003F56FE">
      <w:pPr>
        <w:rPr>
          <w:sz w:val="20"/>
        </w:rPr>
      </w:pPr>
    </w:p>
    <w:p w14:paraId="78C1B3EE" w14:textId="77777777" w:rsidR="003F56FE" w:rsidRDefault="003F56FE" w:rsidP="003F56FE">
      <w:pPr>
        <w:pBdr>
          <w:top w:val="single" w:sz="4" w:space="1" w:color="auto"/>
          <w:left w:val="single" w:sz="4" w:space="4" w:color="auto"/>
          <w:bottom w:val="single" w:sz="4" w:space="1" w:color="auto"/>
          <w:right w:val="single" w:sz="4" w:space="4" w:color="auto"/>
        </w:pBdr>
        <w:rPr>
          <w:b/>
          <w:sz w:val="20"/>
          <w:lang w:val="en-AU"/>
        </w:rPr>
      </w:pPr>
      <w:r>
        <w:rPr>
          <w:b/>
          <w:sz w:val="20"/>
          <w:lang w:val="en-AU"/>
        </w:rPr>
        <w:t>Note:</w:t>
      </w:r>
    </w:p>
    <w:p w14:paraId="3A20A1C7" w14:textId="77777777" w:rsidR="003F56FE" w:rsidRDefault="003F56FE" w:rsidP="003F56FE">
      <w:pPr>
        <w:pBdr>
          <w:top w:val="single" w:sz="4" w:space="1" w:color="auto"/>
          <w:left w:val="single" w:sz="4" w:space="4" w:color="auto"/>
          <w:bottom w:val="single" w:sz="4" w:space="1" w:color="auto"/>
          <w:right w:val="single" w:sz="4" w:space="4" w:color="auto"/>
        </w:pBdr>
        <w:rPr>
          <w:sz w:val="20"/>
          <w:lang w:val="en-AU"/>
        </w:rPr>
      </w:pPr>
    </w:p>
    <w:p w14:paraId="10EB33ED" w14:textId="77777777" w:rsidR="003F56FE" w:rsidRDefault="003F56FE" w:rsidP="003F56FE">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variation will be published in the Commonwealth of Australia Gazette No. FSC </w:t>
      </w:r>
      <w:r>
        <w:rPr>
          <w:color w:val="FF0000"/>
          <w:sz w:val="20"/>
          <w:lang w:val="en-AU"/>
        </w:rPr>
        <w:t>XX on XX Month 20XX</w:t>
      </w:r>
      <w:r>
        <w:rPr>
          <w:sz w:val="20"/>
          <w:lang w:val="en-AU"/>
        </w:rPr>
        <w:t xml:space="preserve">. This means that this date is the gazettal date for the purposes of clause 3 of the variation. </w:t>
      </w:r>
    </w:p>
    <w:p w14:paraId="2A33BC67" w14:textId="77777777" w:rsidR="003F56FE" w:rsidRDefault="003F56FE" w:rsidP="003F56FE">
      <w:pPr>
        <w:rPr>
          <w:sz w:val="20"/>
        </w:rPr>
      </w:pPr>
    </w:p>
    <w:p w14:paraId="1DCF82D4" w14:textId="77777777" w:rsidR="003F56FE" w:rsidRDefault="003F56FE" w:rsidP="003F56FE">
      <w:pPr>
        <w:widowControl/>
        <w:rPr>
          <w:sz w:val="20"/>
        </w:rPr>
      </w:pPr>
      <w:r>
        <w:rPr>
          <w:sz w:val="20"/>
        </w:rPr>
        <w:br w:type="page"/>
      </w:r>
    </w:p>
    <w:p w14:paraId="3CDAB677" w14:textId="77777777" w:rsidR="003F56FE" w:rsidRDefault="003F56FE" w:rsidP="003F56FE">
      <w:pPr>
        <w:pStyle w:val="FSCDraftingitemheading"/>
      </w:pPr>
      <w:r>
        <w:t>1</w:t>
      </w:r>
      <w:r>
        <w:tab/>
        <w:t>Name</w:t>
      </w:r>
    </w:p>
    <w:p w14:paraId="2D96B698" w14:textId="77777777" w:rsidR="003F56FE" w:rsidRDefault="003F56FE" w:rsidP="003F56FE">
      <w:pPr>
        <w:pStyle w:val="FSCDraftingitem"/>
      </w:pPr>
      <w:r>
        <w:t xml:space="preserve">This instrument is the </w:t>
      </w:r>
      <w:r>
        <w:rPr>
          <w:i/>
        </w:rPr>
        <w:t>Food Standards (Application A1155 – 2</w:t>
      </w:r>
      <w:r>
        <w:rPr>
          <w:rFonts w:cs="Arial"/>
          <w:i/>
        </w:rPr>
        <w:t>′</w:t>
      </w:r>
      <w:r>
        <w:rPr>
          <w:i/>
        </w:rPr>
        <w:t>-FL and LNnT in infant formula and other products) Variation</w:t>
      </w:r>
      <w:r>
        <w:t>.</w:t>
      </w:r>
    </w:p>
    <w:p w14:paraId="09E7A403" w14:textId="77777777" w:rsidR="003F56FE" w:rsidRDefault="003F56FE" w:rsidP="003F56FE">
      <w:pPr>
        <w:pStyle w:val="FSCDraftingitemheading"/>
      </w:pPr>
      <w:r>
        <w:t>2</w:t>
      </w:r>
      <w:r>
        <w:tab/>
        <w:t xml:space="preserve">Variation to standards in the </w:t>
      </w:r>
      <w:r>
        <w:rPr>
          <w:i/>
        </w:rPr>
        <w:t>Australia New Zealand Food Standards Code</w:t>
      </w:r>
    </w:p>
    <w:p w14:paraId="168BC2D0" w14:textId="77777777" w:rsidR="003F56FE" w:rsidRDefault="003F56FE" w:rsidP="003F56FE">
      <w:pPr>
        <w:pStyle w:val="FSCDraftingitem"/>
      </w:pPr>
      <w:r>
        <w:t xml:space="preserve">The Schedule varies Standards in the </w:t>
      </w:r>
      <w:r>
        <w:rPr>
          <w:i/>
        </w:rPr>
        <w:t>Australia New Zealand Food Standards Code</w:t>
      </w:r>
      <w:r>
        <w:t>.</w:t>
      </w:r>
    </w:p>
    <w:p w14:paraId="0ABD5020" w14:textId="77777777" w:rsidR="003F56FE" w:rsidRDefault="003F56FE" w:rsidP="003F56FE">
      <w:pPr>
        <w:pStyle w:val="FSCDraftingitemheading"/>
      </w:pPr>
      <w:r>
        <w:t>3</w:t>
      </w:r>
      <w:r>
        <w:tab/>
        <w:t>Commencement</w:t>
      </w:r>
    </w:p>
    <w:p w14:paraId="1BB795B2" w14:textId="77777777" w:rsidR="003F56FE" w:rsidRDefault="003F56FE" w:rsidP="003F56FE">
      <w:pPr>
        <w:pStyle w:val="FSCDraftingitem"/>
      </w:pPr>
      <w:r>
        <w:t>The variation commences on the date of gazettal.</w:t>
      </w:r>
    </w:p>
    <w:p w14:paraId="6CF69EBC" w14:textId="77777777" w:rsidR="003F56FE" w:rsidRDefault="003F56FE" w:rsidP="003F56FE">
      <w:pPr>
        <w:jc w:val="center"/>
        <w:rPr>
          <w:b/>
          <w:sz w:val="20"/>
        </w:rPr>
      </w:pPr>
      <w:r>
        <w:rPr>
          <w:b/>
          <w:sz w:val="20"/>
        </w:rPr>
        <w:t>Schedule</w:t>
      </w:r>
    </w:p>
    <w:p w14:paraId="4C3480AA" w14:textId="77777777" w:rsidR="003F56FE" w:rsidRDefault="003F56FE" w:rsidP="003F56FE">
      <w:pPr>
        <w:pStyle w:val="FSCDraftingitem"/>
      </w:pPr>
      <w:r>
        <w:rPr>
          <w:b/>
          <w:lang w:bidi="en-US"/>
        </w:rPr>
        <w:t>[1]</w:t>
      </w:r>
      <w:r>
        <w:rPr>
          <w:b/>
          <w:lang w:bidi="en-US"/>
        </w:rPr>
        <w:tab/>
        <w:t xml:space="preserve">Standard 2.9.1 </w:t>
      </w:r>
      <w:r>
        <w:rPr>
          <w:lang w:bidi="en-US"/>
        </w:rPr>
        <w:t>is varied by</w:t>
      </w:r>
    </w:p>
    <w:p w14:paraId="1538E907" w14:textId="77777777" w:rsidR="003F56FE" w:rsidRDefault="003F56FE" w:rsidP="003F56FE">
      <w:pPr>
        <w:pStyle w:val="FSCDraftingitem"/>
      </w:pPr>
      <w:r>
        <w:rPr>
          <w:lang w:bidi="en-US"/>
        </w:rPr>
        <w:t xml:space="preserve"> [1.1]</w:t>
      </w:r>
      <w:r>
        <w:rPr>
          <w:lang w:bidi="en-US"/>
        </w:rPr>
        <w:tab/>
        <w:t xml:space="preserve">omitting section </w:t>
      </w:r>
      <w:r>
        <w:t>2.9.1—7, substituting</w:t>
      </w:r>
    </w:p>
    <w:p w14:paraId="43508144" w14:textId="77777777" w:rsidR="003F56FE" w:rsidRDefault="003F56FE" w:rsidP="003F56FE">
      <w:pPr>
        <w:pStyle w:val="FSCh5Section"/>
      </w:pPr>
      <w:r>
        <w:t>2.9.1—7</w:t>
      </w:r>
      <w:r>
        <w:tab/>
        <w:t>Restriction on addition to infant formula product of inulin-type fructans and galacto</w:t>
      </w:r>
      <w:r>
        <w:noBreakHyphen/>
        <w:t xml:space="preserve">oligosaccharides </w:t>
      </w:r>
    </w:p>
    <w:p w14:paraId="027BF1BD" w14:textId="77777777" w:rsidR="003F56FE" w:rsidRDefault="003F56FE" w:rsidP="003F56FE">
      <w:pPr>
        <w:pStyle w:val="FSCtMain"/>
      </w:pPr>
      <w:r>
        <w:tab/>
        <w:t>(1)</w:t>
      </w:r>
      <w:r>
        <w:tab/>
        <w:t>If an inulin-type fructan or a galacto-oligosaccharide is added to an infant formula product, the product must contain (taking into account both the naturally-occurring and added substances) no more than:</w:t>
      </w:r>
    </w:p>
    <w:p w14:paraId="67F57F94" w14:textId="77777777" w:rsidR="003F56FE" w:rsidRDefault="003F56FE" w:rsidP="003F56FE">
      <w:pPr>
        <w:pStyle w:val="FSCtPara"/>
      </w:pPr>
      <w:r>
        <w:tab/>
        <w:t>(a)</w:t>
      </w:r>
      <w:r>
        <w:tab/>
        <w:t>if only *inulin-type fructans are added—110 mg/100 kJ of inulin-type fructans; or</w:t>
      </w:r>
    </w:p>
    <w:p w14:paraId="502C3924" w14:textId="77777777" w:rsidR="003F56FE" w:rsidRDefault="003F56FE" w:rsidP="003F56FE">
      <w:pPr>
        <w:pStyle w:val="FSCtPara"/>
      </w:pPr>
      <w:r>
        <w:tab/>
        <w:t>(b)</w:t>
      </w:r>
      <w:r>
        <w:tab/>
        <w:t>if only *galacto-oligosaccharides are added—290 mg/100 kJ of galacto-oligosaccharides; or</w:t>
      </w:r>
    </w:p>
    <w:p w14:paraId="4B990BE5" w14:textId="77777777" w:rsidR="003F56FE" w:rsidRDefault="003F56FE" w:rsidP="003F56FE">
      <w:pPr>
        <w:pStyle w:val="FSCtPara"/>
      </w:pPr>
      <w:r>
        <w:tab/>
        <w:t>(c)</w:t>
      </w:r>
      <w:r>
        <w:tab/>
        <w:t>if both inulin-type fructans and galacto-oligosaccharides are added:</w:t>
      </w:r>
    </w:p>
    <w:p w14:paraId="496A26A9" w14:textId="77777777" w:rsidR="003F56FE" w:rsidRDefault="003F56FE" w:rsidP="003F56FE">
      <w:pPr>
        <w:pStyle w:val="FSCtSubpara"/>
      </w:pPr>
      <w:r>
        <w:tab/>
        <w:t>(i)</w:t>
      </w:r>
      <w:r>
        <w:tab/>
        <w:t>no more than 110 mg/100 kJ of inulin-type fructans; and</w:t>
      </w:r>
    </w:p>
    <w:p w14:paraId="0859EC67" w14:textId="77777777" w:rsidR="003F56FE" w:rsidRDefault="003F56FE" w:rsidP="003F56FE">
      <w:pPr>
        <w:pStyle w:val="FSCtSubpara"/>
      </w:pPr>
      <w:r>
        <w:tab/>
        <w:t>(ii)</w:t>
      </w:r>
      <w:r>
        <w:tab/>
        <w:t>no more than 290 mg/100 kJ of combined inulin-type fructans and galacto-oligosaccharides.</w:t>
      </w:r>
    </w:p>
    <w:p w14:paraId="7CCED812" w14:textId="77777777" w:rsidR="003F56FE" w:rsidRDefault="003F56FE" w:rsidP="003F56FE">
      <w:pPr>
        <w:pStyle w:val="FSCDraftingitem"/>
        <w:tabs>
          <w:tab w:val="clear" w:pos="851"/>
          <w:tab w:val="left" w:pos="1134"/>
        </w:tabs>
        <w:ind w:left="1701" w:hanging="1701"/>
      </w:pPr>
      <w:r>
        <w:tab/>
        <w:t>(2)</w:t>
      </w:r>
      <w:r>
        <w:tab/>
        <w:t>An infant formula product to which an inulin-type fructan or a galacto</w:t>
      </w:r>
      <w:r>
        <w:noBreakHyphen/>
        <w:t>oligosaccharide is added must not contain any of the following added substances:</w:t>
      </w:r>
    </w:p>
    <w:p w14:paraId="264434A2" w14:textId="77777777" w:rsidR="003F56FE" w:rsidRDefault="003F56FE" w:rsidP="003F56FE">
      <w:pPr>
        <w:pStyle w:val="FSCDraftingitem"/>
        <w:tabs>
          <w:tab w:val="clear" w:pos="851"/>
          <w:tab w:val="left" w:pos="1701"/>
        </w:tabs>
        <w:ind w:left="2268" w:hanging="2268"/>
      </w:pPr>
      <w:r>
        <w:rPr>
          <w:i/>
        </w:rPr>
        <w:tab/>
      </w:r>
      <w:r>
        <w:t>(a)</w:t>
      </w:r>
      <w:r>
        <w:tab/>
        <w:t>2</w:t>
      </w:r>
      <w:r>
        <w:rPr>
          <w:rFonts w:cs="Arial"/>
        </w:rPr>
        <w:t>′</w:t>
      </w:r>
      <w:r>
        <w:t xml:space="preserve">-O-fucosyllactose; or </w:t>
      </w:r>
    </w:p>
    <w:p w14:paraId="21A3FBB4" w14:textId="77777777" w:rsidR="003F56FE" w:rsidRDefault="003F56FE" w:rsidP="003F56FE">
      <w:pPr>
        <w:pStyle w:val="FSCDraftingitem"/>
        <w:tabs>
          <w:tab w:val="clear" w:pos="851"/>
          <w:tab w:val="left" w:pos="1701"/>
        </w:tabs>
        <w:ind w:left="2268" w:hanging="2268"/>
      </w:pPr>
      <w:r>
        <w:tab/>
        <w:t>(b)</w:t>
      </w:r>
      <w:r>
        <w:tab/>
        <w:t>a combination of 2</w:t>
      </w:r>
      <w:r>
        <w:rPr>
          <w:rFonts w:cs="Arial"/>
          <w:i/>
        </w:rPr>
        <w:t>′</w:t>
      </w:r>
      <w:r>
        <w:rPr>
          <w:i/>
        </w:rPr>
        <w:t>-</w:t>
      </w:r>
      <w:r>
        <w:t>O-fucosyllactose and lacto-N-neotetraose.</w:t>
      </w:r>
    </w:p>
    <w:p w14:paraId="2AFBDB7E" w14:textId="77777777" w:rsidR="003F56FE" w:rsidRDefault="003F56FE" w:rsidP="003F56FE">
      <w:pPr>
        <w:pStyle w:val="FSCtMain"/>
        <w:ind w:left="0" w:firstLine="0"/>
      </w:pPr>
      <w:r>
        <w:rPr>
          <w:lang w:bidi="en-US"/>
        </w:rPr>
        <w:t>[1.2]</w:t>
      </w:r>
      <w:r>
        <w:rPr>
          <w:lang w:bidi="en-US"/>
        </w:rPr>
        <w:tab/>
        <w:t xml:space="preserve">inserting after paragraph </w:t>
      </w:r>
      <w:r>
        <w:t>2.9.1—24(1)(c)</w:t>
      </w:r>
    </w:p>
    <w:p w14:paraId="1B2045F8" w14:textId="77777777" w:rsidR="003F56FE" w:rsidRDefault="003F56FE" w:rsidP="003F56FE">
      <w:pPr>
        <w:pStyle w:val="FSCtPara"/>
      </w:pPr>
      <w:r>
        <w:tab/>
        <w:t>(ca)</w:t>
      </w:r>
      <w:r>
        <w:tab/>
        <w:t>the words ‘human milk oligosaccharide’, ‘human milk identical oligosaccharide’ or any word or words having the same or similar effect; or</w:t>
      </w:r>
    </w:p>
    <w:p w14:paraId="402902BA" w14:textId="77777777" w:rsidR="003F56FE" w:rsidRDefault="003F56FE" w:rsidP="003F56FE">
      <w:pPr>
        <w:pStyle w:val="FSCtPara"/>
      </w:pPr>
      <w:r>
        <w:tab/>
        <w:t>(cb)</w:t>
      </w:r>
      <w:r>
        <w:tab/>
        <w:t>the abbreviations ‘HMO’ or HiMO’ or any abbreviation having the same or similar effect; or</w:t>
      </w:r>
    </w:p>
    <w:p w14:paraId="005A65ED" w14:textId="77777777" w:rsidR="003F56FE" w:rsidRDefault="003F56FE" w:rsidP="003F56FE">
      <w:pPr>
        <w:pStyle w:val="FSCDraftingitem"/>
      </w:pPr>
      <w:r>
        <w:rPr>
          <w:b/>
          <w:lang w:bidi="en-US"/>
        </w:rPr>
        <w:t>[2]</w:t>
      </w:r>
      <w:r>
        <w:rPr>
          <w:b/>
          <w:lang w:bidi="en-US"/>
        </w:rPr>
        <w:tab/>
        <w:t xml:space="preserve">Standard 2.9.3 </w:t>
      </w:r>
      <w:r>
        <w:rPr>
          <w:lang w:bidi="en-US"/>
        </w:rPr>
        <w:t>is varied by</w:t>
      </w:r>
    </w:p>
    <w:p w14:paraId="2704EC19" w14:textId="77777777" w:rsidR="003F56FE" w:rsidRDefault="003F56FE" w:rsidP="003F56FE">
      <w:pPr>
        <w:pStyle w:val="FSCDraftingitem"/>
      </w:pPr>
      <w:r>
        <w:t>[2.1]</w:t>
      </w:r>
      <w:r>
        <w:tab/>
        <w:t>inserting after subsection 2.9.3—7(2)</w:t>
      </w:r>
    </w:p>
    <w:p w14:paraId="02E23B00" w14:textId="77777777" w:rsidR="003F56FE" w:rsidRDefault="003F56FE" w:rsidP="003F56FE">
      <w:pPr>
        <w:pStyle w:val="FSCtMain"/>
      </w:pPr>
      <w:r>
        <w:tab/>
        <w:t>(2A)</w:t>
      </w:r>
      <w:r>
        <w:tab/>
        <w:t>A substance listed in Column 1 of the table to section S29—15A may be *used as a nutritive substance in a formulated supplementary food for young children if:</w:t>
      </w:r>
    </w:p>
    <w:p w14:paraId="3BFE2E8A" w14:textId="77777777" w:rsidR="003F56FE" w:rsidRDefault="003F56FE" w:rsidP="003F56FE">
      <w:pPr>
        <w:pStyle w:val="FSCtPara"/>
      </w:pPr>
      <w:r>
        <w:tab/>
        <w:t>(a)</w:t>
      </w:r>
      <w:r>
        <w:tab/>
        <w:t>the substance is in a permitted form listed in Column 2 of the table; and</w:t>
      </w:r>
    </w:p>
    <w:p w14:paraId="214C3F2D" w14:textId="77777777" w:rsidR="003F56FE" w:rsidRDefault="003F56FE" w:rsidP="003F56FE">
      <w:pPr>
        <w:pStyle w:val="FSCtPara"/>
      </w:pPr>
      <w:r>
        <w:tab/>
        <w:t xml:space="preserve">(b) </w:t>
      </w:r>
      <w:r>
        <w:tab/>
        <w:t>the amount of the substance in the food (including any naturally-occurring amount) is no more than the corresponding amount listed in Column 3 of the table.</w:t>
      </w:r>
    </w:p>
    <w:p w14:paraId="05206011" w14:textId="77777777" w:rsidR="003F56FE" w:rsidRDefault="003F56FE" w:rsidP="003F56FE">
      <w:pPr>
        <w:pStyle w:val="FSCDraftingitem"/>
      </w:pPr>
      <w:r>
        <w:t>[2.2]</w:t>
      </w:r>
      <w:r>
        <w:tab/>
        <w:t>omitting subsection 2.9.2—7(3), substituting</w:t>
      </w:r>
    </w:p>
    <w:p w14:paraId="461220ED" w14:textId="77777777" w:rsidR="003F56FE" w:rsidRDefault="003F56FE" w:rsidP="003F56FE">
      <w:pPr>
        <w:pStyle w:val="FSCtMain"/>
      </w:pPr>
      <w:r>
        <w:tab/>
        <w:t>(3)</w:t>
      </w:r>
      <w:r>
        <w:tab/>
        <w:t>If *inulin-type fructans or *galacto-oligosaccharides are added to a formulated supplementary food for young children:</w:t>
      </w:r>
    </w:p>
    <w:p w14:paraId="4085F924" w14:textId="77777777" w:rsidR="003F56FE" w:rsidRDefault="003F56FE" w:rsidP="003F56FE">
      <w:pPr>
        <w:pStyle w:val="FSCtMain"/>
        <w:tabs>
          <w:tab w:val="clear" w:pos="1134"/>
          <w:tab w:val="left" w:pos="1701"/>
        </w:tabs>
        <w:ind w:left="2268" w:hanging="2268"/>
      </w:pPr>
      <w:r>
        <w:tab/>
        <w:t xml:space="preserve">(a) </w:t>
      </w:r>
      <w:r>
        <w:tab/>
        <w:t>the total amount of those substances, both added and naturally occurring, must not be more than 1.6 g/serving; and</w:t>
      </w:r>
    </w:p>
    <w:p w14:paraId="6EB3BA22" w14:textId="77777777" w:rsidR="003F56FE" w:rsidRDefault="003F56FE" w:rsidP="003F56FE">
      <w:pPr>
        <w:pStyle w:val="FSCtMain"/>
        <w:tabs>
          <w:tab w:val="clear" w:pos="1134"/>
          <w:tab w:val="left" w:pos="1701"/>
        </w:tabs>
        <w:ind w:left="2268" w:hanging="2268"/>
      </w:pPr>
      <w:r>
        <w:tab/>
        <w:t xml:space="preserve">(b) </w:t>
      </w:r>
      <w:r>
        <w:tab/>
        <w:t>the food must not contain any of the following added substances:</w:t>
      </w:r>
    </w:p>
    <w:p w14:paraId="7FF8A54E" w14:textId="77777777" w:rsidR="003F56FE" w:rsidRDefault="003F56FE" w:rsidP="003F56FE">
      <w:pPr>
        <w:pStyle w:val="FSCDraftingitem"/>
        <w:tabs>
          <w:tab w:val="clear" w:pos="851"/>
          <w:tab w:val="left" w:pos="2268"/>
        </w:tabs>
        <w:ind w:left="2835" w:hanging="2835"/>
      </w:pPr>
      <w:r>
        <w:rPr>
          <w:i/>
        </w:rPr>
        <w:tab/>
      </w:r>
      <w:r>
        <w:t>(i)</w:t>
      </w:r>
      <w:r>
        <w:tab/>
        <w:t>2</w:t>
      </w:r>
      <w:r>
        <w:rPr>
          <w:rFonts w:cs="Arial"/>
        </w:rPr>
        <w:t>′</w:t>
      </w:r>
      <w:r>
        <w:t>-O-fucosyllactose; or</w:t>
      </w:r>
    </w:p>
    <w:p w14:paraId="00EAA464" w14:textId="77777777" w:rsidR="003F56FE" w:rsidRDefault="003F56FE" w:rsidP="003F56FE">
      <w:pPr>
        <w:pStyle w:val="FSCtMain"/>
        <w:tabs>
          <w:tab w:val="left" w:pos="2268"/>
        </w:tabs>
        <w:ind w:left="2835" w:hanging="2835"/>
      </w:pPr>
      <w:r>
        <w:tab/>
      </w:r>
      <w:r>
        <w:tab/>
        <w:t>(ii)</w:t>
      </w:r>
      <w:r>
        <w:tab/>
        <w:t>a combination of 2′</w:t>
      </w:r>
      <w:r>
        <w:rPr>
          <w:i/>
        </w:rPr>
        <w:t>-</w:t>
      </w:r>
      <w:r>
        <w:t>O-fucosyllactose and lacto-N-neotetraose.</w:t>
      </w:r>
    </w:p>
    <w:p w14:paraId="44B137F7" w14:textId="77777777" w:rsidR="003F56FE" w:rsidRDefault="003F56FE" w:rsidP="003F56FE">
      <w:pPr>
        <w:pStyle w:val="FSCDraftingitem"/>
      </w:pPr>
      <w:r>
        <w:t>[2.3]</w:t>
      </w:r>
      <w:r>
        <w:tab/>
        <w:t>omitting subsection 2.9.3—7(4)</w:t>
      </w:r>
    </w:p>
    <w:p w14:paraId="5DBCDBF1" w14:textId="77777777" w:rsidR="003F56FE" w:rsidRDefault="003F56FE" w:rsidP="003F56FE">
      <w:pPr>
        <w:pStyle w:val="FSCDraftingitem"/>
      </w:pPr>
      <w:r>
        <w:t>[2.4]</w:t>
      </w:r>
      <w:r>
        <w:tab/>
        <w:t>omitting subsection 2.9.3—8(6), substituting</w:t>
      </w:r>
    </w:p>
    <w:p w14:paraId="314E905B" w14:textId="77777777" w:rsidR="003F56FE" w:rsidRDefault="003F56FE" w:rsidP="003F56FE">
      <w:pPr>
        <w:pStyle w:val="FSCDraftingitem"/>
        <w:tabs>
          <w:tab w:val="clear" w:pos="851"/>
          <w:tab w:val="left" w:pos="1134"/>
        </w:tabs>
        <w:ind w:left="1701" w:hanging="1701"/>
        <w:rPr>
          <w:rFonts w:cs="Arial"/>
        </w:rPr>
      </w:pPr>
      <w:r>
        <w:tab/>
        <w:t>(6)</w:t>
      </w:r>
      <w:r>
        <w:tab/>
      </w:r>
      <w:r>
        <w:rPr>
          <w:rFonts w:cs="Arial"/>
        </w:rPr>
        <w:t>The label on a package of a</w:t>
      </w:r>
      <w:r>
        <w:t xml:space="preserve"> formulated supplementary food for young children</w:t>
      </w:r>
      <w:r>
        <w:rPr>
          <w:rFonts w:cs="Arial"/>
        </w:rPr>
        <w:t xml:space="preserve"> must not contain:</w:t>
      </w:r>
    </w:p>
    <w:p w14:paraId="2E04CACD" w14:textId="77777777" w:rsidR="003F56FE" w:rsidRDefault="003F56FE" w:rsidP="003F56FE">
      <w:pPr>
        <w:pStyle w:val="FSCDraftingitem"/>
        <w:tabs>
          <w:tab w:val="clear" w:pos="851"/>
          <w:tab w:val="left" w:pos="1701"/>
        </w:tabs>
        <w:ind w:left="2268" w:hanging="2268"/>
        <w:rPr>
          <w:rFonts w:cs="Arial"/>
        </w:rPr>
      </w:pPr>
      <w:r>
        <w:rPr>
          <w:rFonts w:cs="Arial"/>
        </w:rPr>
        <w:tab/>
        <w:t>(a)</w:t>
      </w:r>
      <w:r>
        <w:rPr>
          <w:rFonts w:cs="Arial"/>
        </w:rPr>
        <w:tab/>
        <w:t>the words ‘human milk oligosaccharide’ or ‘human milk identical oligosaccharide’ or any word or words having the same or similar effect; or</w:t>
      </w:r>
    </w:p>
    <w:p w14:paraId="08E4E8DA" w14:textId="77777777" w:rsidR="003F56FE" w:rsidRDefault="003F56FE" w:rsidP="003F56FE">
      <w:pPr>
        <w:pStyle w:val="FSCDraftingitem"/>
        <w:tabs>
          <w:tab w:val="clear" w:pos="851"/>
          <w:tab w:val="left" w:pos="1701"/>
        </w:tabs>
        <w:ind w:left="2268" w:hanging="2268"/>
        <w:rPr>
          <w:rFonts w:cs="Arial"/>
        </w:rPr>
      </w:pPr>
      <w:r>
        <w:rPr>
          <w:rFonts w:cs="Arial"/>
        </w:rPr>
        <w:tab/>
        <w:t xml:space="preserve">(b) </w:t>
      </w:r>
      <w:r>
        <w:rPr>
          <w:rFonts w:cs="Arial"/>
        </w:rPr>
        <w:tab/>
        <w:t>the abbreviations ‘HMO’ or HiMO’ or any abbreviation having the same or similar effect; or</w:t>
      </w:r>
    </w:p>
    <w:p w14:paraId="50C5A685" w14:textId="77777777" w:rsidR="003F56FE" w:rsidRDefault="003F56FE" w:rsidP="003F56FE">
      <w:pPr>
        <w:pStyle w:val="FSCDraftingitem"/>
        <w:tabs>
          <w:tab w:val="clear" w:pos="851"/>
          <w:tab w:val="left" w:pos="1701"/>
        </w:tabs>
        <w:ind w:left="2268" w:hanging="2268"/>
        <w:rPr>
          <w:rFonts w:cs="Arial"/>
        </w:rPr>
      </w:pPr>
      <w:r>
        <w:rPr>
          <w:rFonts w:cs="Arial"/>
        </w:rPr>
        <w:tab/>
        <w:t>(c)</w:t>
      </w:r>
      <w:r>
        <w:rPr>
          <w:rFonts w:cs="Arial"/>
        </w:rPr>
        <w:tab/>
        <w:t xml:space="preserve">any words indicating, or any other indication, that the product contains lutein unless the total amount of lutein is no less than 30 </w:t>
      </w:r>
      <w:r>
        <w:t>µg/serving.</w:t>
      </w:r>
    </w:p>
    <w:p w14:paraId="4992266A" w14:textId="77777777" w:rsidR="003F56FE" w:rsidRDefault="003F56FE" w:rsidP="003F56FE">
      <w:pPr>
        <w:pStyle w:val="FSCDraftingitem"/>
      </w:pPr>
      <w:r>
        <w:rPr>
          <w:b/>
          <w:lang w:bidi="en-US"/>
        </w:rPr>
        <w:t>[3]</w:t>
      </w:r>
      <w:r>
        <w:rPr>
          <w:b/>
          <w:lang w:bidi="en-US"/>
        </w:rPr>
        <w:tab/>
        <w:t xml:space="preserve">Schedule 2 </w:t>
      </w:r>
      <w:r>
        <w:rPr>
          <w:lang w:bidi="en-US"/>
        </w:rPr>
        <w:t>is varied by inserting in the table to section S</w:t>
      </w:r>
      <w:r>
        <w:t>2—2, in alphabetical order</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2"/>
        <w:tblDescription w:val="Schedule 2 is varied by inserting the unit of measure EU/mg (endotoxin units per milligram) in the table to section S2-2."/>
      </w:tblPr>
      <w:tblGrid>
        <w:gridCol w:w="1844"/>
        <w:gridCol w:w="2692"/>
      </w:tblGrid>
      <w:tr w:rsidR="003F56FE" w14:paraId="55FEE661" w14:textId="77777777" w:rsidTr="003F56FE">
        <w:trPr>
          <w:jc w:val="center"/>
        </w:trPr>
        <w:tc>
          <w:tcPr>
            <w:tcW w:w="1844" w:type="dxa"/>
            <w:hideMark/>
          </w:tcPr>
          <w:p w14:paraId="06D89225" w14:textId="77777777" w:rsidR="003F56FE" w:rsidRDefault="003F56FE" w:rsidP="003F56FE">
            <w:pPr>
              <w:pStyle w:val="FSCtblMain"/>
            </w:pPr>
            <w:r>
              <w:t>EU/mg</w:t>
            </w:r>
          </w:p>
        </w:tc>
        <w:tc>
          <w:tcPr>
            <w:tcW w:w="2692" w:type="dxa"/>
            <w:hideMark/>
          </w:tcPr>
          <w:p w14:paraId="3D6B3C8E" w14:textId="77777777" w:rsidR="003F56FE" w:rsidRDefault="003F56FE" w:rsidP="003F56FE">
            <w:pPr>
              <w:pStyle w:val="FSCtblMain"/>
            </w:pPr>
            <w:r>
              <w:t>Endotoxin units per milligram</w:t>
            </w:r>
          </w:p>
        </w:tc>
      </w:tr>
    </w:tbl>
    <w:p w14:paraId="2ED90C6D" w14:textId="77777777" w:rsidR="003F56FE" w:rsidRDefault="003F56FE" w:rsidP="003F56FE">
      <w:pPr>
        <w:pStyle w:val="FSCDraftingitem"/>
        <w:rPr>
          <w:lang w:bidi="en-US"/>
        </w:rPr>
      </w:pPr>
      <w:r>
        <w:rPr>
          <w:b/>
          <w:lang w:bidi="en-US"/>
        </w:rPr>
        <w:t>[4]</w:t>
      </w:r>
      <w:r>
        <w:rPr>
          <w:b/>
          <w:lang w:bidi="en-US"/>
        </w:rPr>
        <w:tab/>
        <w:t xml:space="preserve">Schedule 3 </w:t>
      </w:r>
      <w:r>
        <w:rPr>
          <w:lang w:bidi="en-US"/>
        </w:rPr>
        <w:t xml:space="preserve">is varied by </w:t>
      </w:r>
    </w:p>
    <w:p w14:paraId="57BE8EBB" w14:textId="77777777" w:rsidR="003F56FE" w:rsidRDefault="003F56FE" w:rsidP="003F56FE">
      <w:pPr>
        <w:pStyle w:val="FSCDraftingitem"/>
        <w:rPr>
          <w:lang w:bidi="en-US"/>
        </w:rPr>
      </w:pPr>
      <w:r>
        <w:rPr>
          <w:lang w:bidi="en-US"/>
        </w:rPr>
        <w:t>[4.1]</w:t>
      </w:r>
      <w:r>
        <w:rPr>
          <w:lang w:bidi="en-US"/>
        </w:rPr>
        <w:tab/>
        <w:t xml:space="preserve">inserting in the table to subsection </w:t>
      </w:r>
      <w:r>
        <w:t>S3—2</w:t>
      </w:r>
      <w:r>
        <w:rPr>
          <w:lang w:bidi="en-US"/>
        </w:rPr>
        <w:t>(2)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ired by inserting '2′-O-fucosyllactose' in the table in subsection S3-2(2) in alphabetical order."/>
      </w:tblPr>
      <w:tblGrid>
        <w:gridCol w:w="4254"/>
        <w:gridCol w:w="2550"/>
      </w:tblGrid>
      <w:tr w:rsidR="003F56FE" w14:paraId="28433DB6" w14:textId="77777777" w:rsidTr="003F56FE">
        <w:trPr>
          <w:cantSplit/>
          <w:jc w:val="center"/>
        </w:trPr>
        <w:tc>
          <w:tcPr>
            <w:tcW w:w="4254" w:type="dxa"/>
            <w:hideMark/>
          </w:tcPr>
          <w:p w14:paraId="447693AB" w14:textId="77777777" w:rsidR="003F56FE" w:rsidRDefault="003F56FE" w:rsidP="003F56FE">
            <w:pPr>
              <w:pStyle w:val="FSCtblMain"/>
              <w:rPr>
                <w:rFonts w:cs="Times New Roman"/>
              </w:rPr>
            </w:pPr>
            <w:r>
              <w:t>2</w:t>
            </w:r>
            <w:r>
              <w:rPr>
                <w:i/>
              </w:rPr>
              <w:t>′-</w:t>
            </w:r>
            <w:r>
              <w:t>O-fucosyllactose</w:t>
            </w:r>
          </w:p>
        </w:tc>
        <w:tc>
          <w:tcPr>
            <w:tcW w:w="2550" w:type="dxa"/>
            <w:hideMark/>
          </w:tcPr>
          <w:p w14:paraId="140BEB01" w14:textId="77777777" w:rsidR="003F56FE" w:rsidRDefault="003F56FE" w:rsidP="003F56FE">
            <w:pPr>
              <w:pStyle w:val="FSCtblMain"/>
            </w:pPr>
            <w:r>
              <w:t>section S3—40</w:t>
            </w:r>
          </w:p>
        </w:tc>
      </w:tr>
    </w:tbl>
    <w:p w14:paraId="36A3395F" w14:textId="77777777" w:rsidR="003F56FE" w:rsidRDefault="003F56FE" w:rsidP="003F56FE">
      <w:pPr>
        <w:pStyle w:val="FSCDraftingitem"/>
        <w:rPr>
          <w:lang w:bidi="en-US"/>
        </w:rPr>
      </w:pPr>
      <w:r>
        <w:rPr>
          <w:lang w:bidi="en-US"/>
        </w:rPr>
        <w:t>[4.2]</w:t>
      </w:r>
      <w:r>
        <w:rPr>
          <w:lang w:bidi="en-US"/>
        </w:rPr>
        <w:tab/>
        <w:t xml:space="preserve">inserting in the table to subsection </w:t>
      </w:r>
      <w:r>
        <w:t>S3—2</w:t>
      </w:r>
      <w:r>
        <w:rPr>
          <w:lang w:bidi="en-US"/>
        </w:rPr>
        <w:t>(2)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lacto-N-neotetraose"/>
        <w:tblDescription w:val="Schedule 3 is vaired by inserting 'lacto-N-neotetraose' in the table in subsection S3-2(2) in alphabetical order"/>
      </w:tblPr>
      <w:tblGrid>
        <w:gridCol w:w="4254"/>
        <w:gridCol w:w="2550"/>
      </w:tblGrid>
      <w:tr w:rsidR="003F56FE" w14:paraId="684AE635" w14:textId="77777777" w:rsidTr="003F56FE">
        <w:trPr>
          <w:cantSplit/>
          <w:jc w:val="center"/>
        </w:trPr>
        <w:tc>
          <w:tcPr>
            <w:tcW w:w="4254" w:type="dxa"/>
            <w:hideMark/>
          </w:tcPr>
          <w:p w14:paraId="2EDCCB94" w14:textId="77777777" w:rsidR="003F56FE" w:rsidRDefault="003F56FE" w:rsidP="003F56FE">
            <w:pPr>
              <w:pStyle w:val="FSCtblMain"/>
              <w:rPr>
                <w:rFonts w:cs="Times New Roman"/>
              </w:rPr>
            </w:pPr>
            <w:r>
              <w:t>lacto-N-neotetraose</w:t>
            </w:r>
          </w:p>
        </w:tc>
        <w:tc>
          <w:tcPr>
            <w:tcW w:w="2550" w:type="dxa"/>
            <w:hideMark/>
          </w:tcPr>
          <w:p w14:paraId="677AACFA" w14:textId="77777777" w:rsidR="003F56FE" w:rsidRDefault="003F56FE" w:rsidP="003F56FE">
            <w:pPr>
              <w:pStyle w:val="FSCtblMain"/>
            </w:pPr>
            <w:r>
              <w:t>section S3—41</w:t>
            </w:r>
          </w:p>
        </w:tc>
      </w:tr>
    </w:tbl>
    <w:p w14:paraId="1C6E74F8" w14:textId="77777777" w:rsidR="003F56FE" w:rsidRDefault="003F56FE" w:rsidP="003F56FE">
      <w:pPr>
        <w:pStyle w:val="FSCDraftingitem"/>
        <w:rPr>
          <w:lang w:bidi="en-US"/>
        </w:rPr>
      </w:pPr>
      <w:r>
        <w:rPr>
          <w:lang w:bidi="en-US"/>
        </w:rPr>
        <w:t xml:space="preserve"> [4.3]</w:t>
      </w:r>
      <w:r>
        <w:rPr>
          <w:lang w:bidi="en-US"/>
        </w:rPr>
        <w:tab/>
        <w:t>inserting after subsection S</w:t>
      </w:r>
      <w:r>
        <w:t>3—39</w:t>
      </w:r>
    </w:p>
    <w:p w14:paraId="548A0F48" w14:textId="77777777" w:rsidR="003F56FE" w:rsidRDefault="003F56FE" w:rsidP="003F56FE">
      <w:pPr>
        <w:pStyle w:val="FSCh5Section"/>
      </w:pPr>
      <w:r>
        <w:t>S3—40</w:t>
      </w:r>
      <w:r>
        <w:tab/>
        <w:t xml:space="preserve">Specification for </w:t>
      </w:r>
      <w:r>
        <w:rPr>
          <w:i/>
        </w:rPr>
        <w:t>2</w:t>
      </w:r>
      <w:r>
        <w:rPr>
          <w:rFonts w:cs="Arial"/>
          <w:i/>
        </w:rPr>
        <w:t>′</w:t>
      </w:r>
      <w:r>
        <w:rPr>
          <w:i/>
        </w:rPr>
        <w:t>-</w:t>
      </w:r>
      <w:r>
        <w:t>O-fucosyllactose</w:t>
      </w:r>
    </w:p>
    <w:p w14:paraId="4F79180B" w14:textId="77777777" w:rsidR="003F56FE" w:rsidRDefault="003F56FE" w:rsidP="003F56FE">
      <w:pPr>
        <w:pStyle w:val="FSCtMain"/>
        <w:rPr>
          <w:szCs w:val="20"/>
        </w:rPr>
      </w:pPr>
      <w:r>
        <w:tab/>
      </w:r>
      <w:r>
        <w:tab/>
      </w:r>
      <w:r>
        <w:rPr>
          <w:szCs w:val="20"/>
        </w:rPr>
        <w:t>For 2′</w:t>
      </w:r>
      <w:r>
        <w:rPr>
          <w:i/>
          <w:szCs w:val="20"/>
        </w:rPr>
        <w:t>-</w:t>
      </w:r>
      <w:r>
        <w:rPr>
          <w:szCs w:val="20"/>
        </w:rPr>
        <w:t>O-fucosyllactose (2′-FL), the specifications are the following:</w:t>
      </w:r>
    </w:p>
    <w:p w14:paraId="739C447F" w14:textId="77777777" w:rsidR="003F56FE" w:rsidRDefault="003F56FE" w:rsidP="003F56FE">
      <w:pPr>
        <w:pStyle w:val="FSCtPara"/>
        <w:rPr>
          <w:szCs w:val="20"/>
        </w:rPr>
      </w:pPr>
      <w:r>
        <w:rPr>
          <w:szCs w:val="20"/>
        </w:rPr>
        <w:tab/>
        <w:t>(a)</w:t>
      </w:r>
      <w:r>
        <w:rPr>
          <w:szCs w:val="20"/>
        </w:rPr>
        <w:tab/>
        <w:t xml:space="preserve">chemical name—–α-L-fucopyranosyl-(1→2)-β-D-galactopyranosyl-(1→4)-D-glucopyranose; </w:t>
      </w:r>
    </w:p>
    <w:p w14:paraId="4CFCA88F" w14:textId="77777777" w:rsidR="003F56FE" w:rsidRDefault="003F56FE" w:rsidP="003F56FE">
      <w:pPr>
        <w:pStyle w:val="FSCtPara"/>
        <w:rPr>
          <w:szCs w:val="20"/>
        </w:rPr>
      </w:pPr>
      <w:r>
        <w:rPr>
          <w:szCs w:val="20"/>
        </w:rPr>
        <w:tab/>
        <w:t>(b)</w:t>
      </w:r>
      <w:r>
        <w:rPr>
          <w:szCs w:val="20"/>
        </w:rPr>
        <w:tab/>
        <w:t>chemical formula—</w:t>
      </w:r>
      <w:r>
        <w:rPr>
          <w:szCs w:val="20"/>
          <w:lang w:val="en"/>
        </w:rPr>
        <w:t>C</w:t>
      </w:r>
      <w:r>
        <w:rPr>
          <w:szCs w:val="20"/>
          <w:vertAlign w:val="subscript"/>
          <w:lang w:val="en"/>
        </w:rPr>
        <w:t>18</w:t>
      </w:r>
      <w:r>
        <w:rPr>
          <w:szCs w:val="20"/>
          <w:lang w:val="en"/>
        </w:rPr>
        <w:t>H</w:t>
      </w:r>
      <w:r>
        <w:rPr>
          <w:szCs w:val="20"/>
          <w:vertAlign w:val="subscript"/>
          <w:lang w:val="en"/>
        </w:rPr>
        <w:t>32</w:t>
      </w:r>
      <w:r>
        <w:rPr>
          <w:szCs w:val="20"/>
          <w:lang w:val="en"/>
        </w:rPr>
        <w:t>O</w:t>
      </w:r>
      <w:r>
        <w:rPr>
          <w:szCs w:val="20"/>
          <w:vertAlign w:val="subscript"/>
          <w:lang w:val="en"/>
        </w:rPr>
        <w:t>15</w:t>
      </w:r>
      <w:r>
        <w:rPr>
          <w:szCs w:val="20"/>
        </w:rPr>
        <w:t>;</w:t>
      </w:r>
    </w:p>
    <w:p w14:paraId="13DB497F" w14:textId="77777777" w:rsidR="003F56FE" w:rsidRDefault="003F56FE" w:rsidP="003F56FE">
      <w:pPr>
        <w:pStyle w:val="FSCtPara"/>
        <w:rPr>
          <w:szCs w:val="20"/>
        </w:rPr>
      </w:pPr>
      <w:r>
        <w:rPr>
          <w:szCs w:val="20"/>
        </w:rPr>
        <w:tab/>
        <w:t>(c)</w:t>
      </w:r>
      <w:r>
        <w:rPr>
          <w:szCs w:val="20"/>
        </w:rPr>
        <w:tab/>
        <w:t>CAS number—41263-94-9;</w:t>
      </w:r>
    </w:p>
    <w:p w14:paraId="5E9F54EB" w14:textId="77777777" w:rsidR="003F56FE" w:rsidRDefault="003F56FE" w:rsidP="003F56FE">
      <w:pPr>
        <w:pStyle w:val="FSCtPara"/>
        <w:rPr>
          <w:szCs w:val="20"/>
        </w:rPr>
      </w:pPr>
      <w:r>
        <w:rPr>
          <w:szCs w:val="20"/>
        </w:rPr>
        <w:tab/>
        <w:t>(d)</w:t>
      </w:r>
      <w:r>
        <w:rPr>
          <w:szCs w:val="20"/>
        </w:rPr>
        <w:tab/>
        <w:t>description— white to off white powder or agglomerates;</w:t>
      </w:r>
    </w:p>
    <w:p w14:paraId="218995A9" w14:textId="77777777" w:rsidR="003F56FE" w:rsidRDefault="003F56FE" w:rsidP="003F56FE">
      <w:pPr>
        <w:pStyle w:val="FSCtPara"/>
        <w:rPr>
          <w:szCs w:val="20"/>
        </w:rPr>
      </w:pPr>
      <w:r>
        <w:rPr>
          <w:szCs w:val="20"/>
        </w:rPr>
        <w:tab/>
        <w:t>(e)</w:t>
      </w:r>
      <w:r>
        <w:rPr>
          <w:szCs w:val="20"/>
        </w:rPr>
        <w:tab/>
        <w:t>assay (water free) for sum of 2′-FL, lactose,</w:t>
      </w:r>
      <w:r>
        <w:rPr>
          <w:i/>
          <w:szCs w:val="20"/>
        </w:rPr>
        <w:t xml:space="preserve"> </w:t>
      </w:r>
      <w:r>
        <w:rPr>
          <w:szCs w:val="20"/>
        </w:rPr>
        <w:t>difucosyllactose and fucose—not less than 96.0%;</w:t>
      </w:r>
    </w:p>
    <w:p w14:paraId="363F4984" w14:textId="77777777" w:rsidR="003F56FE" w:rsidRDefault="003F56FE" w:rsidP="003F56FE">
      <w:pPr>
        <w:pStyle w:val="FSCtPara"/>
        <w:rPr>
          <w:szCs w:val="20"/>
        </w:rPr>
      </w:pPr>
      <w:r>
        <w:rPr>
          <w:szCs w:val="20"/>
        </w:rPr>
        <w:tab/>
        <w:t>(f)</w:t>
      </w:r>
      <w:r>
        <w:rPr>
          <w:szCs w:val="20"/>
        </w:rPr>
        <w:tab/>
        <w:t>assay (water free) 2′-FL—–not less than 94.0%;</w:t>
      </w:r>
    </w:p>
    <w:p w14:paraId="34F40D9E" w14:textId="77777777" w:rsidR="003F56FE" w:rsidRDefault="003F56FE" w:rsidP="003F56FE">
      <w:pPr>
        <w:pStyle w:val="FSCtPara"/>
        <w:rPr>
          <w:szCs w:val="20"/>
        </w:rPr>
      </w:pPr>
      <w:r>
        <w:rPr>
          <w:szCs w:val="20"/>
          <w:lang w:bidi="en-US"/>
        </w:rPr>
        <w:tab/>
      </w:r>
      <w:r>
        <w:rPr>
          <w:szCs w:val="20"/>
        </w:rPr>
        <w:t>(g)</w:t>
      </w:r>
      <w:r>
        <w:rPr>
          <w:szCs w:val="20"/>
        </w:rPr>
        <w:tab/>
        <w:t>D-lactose—–not more than 3.0%</w:t>
      </w:r>
    </w:p>
    <w:p w14:paraId="11BB36E0" w14:textId="77777777" w:rsidR="003F56FE" w:rsidRDefault="003F56FE" w:rsidP="003F56FE">
      <w:pPr>
        <w:pStyle w:val="FSCtPara"/>
        <w:rPr>
          <w:szCs w:val="20"/>
        </w:rPr>
      </w:pPr>
      <w:r>
        <w:rPr>
          <w:szCs w:val="20"/>
        </w:rPr>
        <w:tab/>
        <w:t>(h)</w:t>
      </w:r>
      <w:r>
        <w:rPr>
          <w:szCs w:val="20"/>
        </w:rPr>
        <w:tab/>
        <w:t>L-fucose—–not more than 1.0%</w:t>
      </w:r>
    </w:p>
    <w:p w14:paraId="5634E5FF" w14:textId="77777777" w:rsidR="003F56FE" w:rsidRDefault="003F56FE" w:rsidP="003F56FE">
      <w:pPr>
        <w:pStyle w:val="FSCtPara"/>
        <w:rPr>
          <w:szCs w:val="20"/>
        </w:rPr>
      </w:pPr>
      <w:r>
        <w:rPr>
          <w:szCs w:val="20"/>
        </w:rPr>
        <w:tab/>
        <w:t>(i)</w:t>
      </w:r>
      <w:r>
        <w:rPr>
          <w:szCs w:val="20"/>
        </w:rPr>
        <w:tab/>
        <w:t>difucosyllactose—–not more than 1.0%</w:t>
      </w:r>
    </w:p>
    <w:p w14:paraId="4668516F" w14:textId="77777777" w:rsidR="003F56FE" w:rsidRDefault="003F56FE" w:rsidP="003F56FE">
      <w:pPr>
        <w:pStyle w:val="FSCtPara"/>
        <w:rPr>
          <w:szCs w:val="20"/>
        </w:rPr>
      </w:pPr>
      <w:r>
        <w:rPr>
          <w:szCs w:val="20"/>
        </w:rPr>
        <w:tab/>
        <w:t>(j)</w:t>
      </w:r>
      <w:r>
        <w:rPr>
          <w:szCs w:val="20"/>
        </w:rPr>
        <w:tab/>
        <w:t>2′-fucosyl-D-lactulose—–not more than 1.0%</w:t>
      </w:r>
    </w:p>
    <w:p w14:paraId="2B08FB73" w14:textId="77777777" w:rsidR="003F56FE" w:rsidRDefault="003F56FE" w:rsidP="003F56FE">
      <w:pPr>
        <w:pStyle w:val="FSCtPara"/>
        <w:rPr>
          <w:szCs w:val="20"/>
        </w:rPr>
      </w:pPr>
      <w:r>
        <w:rPr>
          <w:szCs w:val="20"/>
        </w:rPr>
        <w:tab/>
        <w:t>(k)</w:t>
      </w:r>
      <w:r>
        <w:rPr>
          <w:szCs w:val="20"/>
        </w:rPr>
        <w:tab/>
        <w:t>pH (20°C, 5% solution)—–3.2 to 5.0</w:t>
      </w:r>
    </w:p>
    <w:p w14:paraId="12A32261" w14:textId="77777777" w:rsidR="003F56FE" w:rsidRDefault="003F56FE" w:rsidP="003F56FE">
      <w:pPr>
        <w:pStyle w:val="FSCtPara"/>
        <w:rPr>
          <w:szCs w:val="20"/>
        </w:rPr>
      </w:pPr>
      <w:r>
        <w:rPr>
          <w:szCs w:val="20"/>
        </w:rPr>
        <w:tab/>
        <w:t>(l)</w:t>
      </w:r>
      <w:r>
        <w:rPr>
          <w:szCs w:val="20"/>
        </w:rPr>
        <w:tab/>
        <w:t>water—–not more than 5.0%</w:t>
      </w:r>
    </w:p>
    <w:p w14:paraId="176A8E2D" w14:textId="77777777" w:rsidR="003F56FE" w:rsidRDefault="003F56FE" w:rsidP="003F56FE">
      <w:pPr>
        <w:pStyle w:val="FSCtPara"/>
        <w:rPr>
          <w:szCs w:val="20"/>
        </w:rPr>
      </w:pPr>
      <w:r>
        <w:rPr>
          <w:szCs w:val="20"/>
        </w:rPr>
        <w:tab/>
        <w:t>(m)</w:t>
      </w:r>
      <w:r>
        <w:rPr>
          <w:szCs w:val="20"/>
        </w:rPr>
        <w:tab/>
        <w:t>ash, sulphated—–not more than 1.5%</w:t>
      </w:r>
    </w:p>
    <w:p w14:paraId="6DDD0AE5" w14:textId="77777777" w:rsidR="003F56FE" w:rsidRDefault="003F56FE" w:rsidP="003F56FE">
      <w:pPr>
        <w:pStyle w:val="FSCtPara"/>
        <w:rPr>
          <w:szCs w:val="20"/>
        </w:rPr>
      </w:pPr>
      <w:r>
        <w:rPr>
          <w:szCs w:val="20"/>
        </w:rPr>
        <w:tab/>
        <w:t>(n)</w:t>
      </w:r>
      <w:r>
        <w:rPr>
          <w:szCs w:val="20"/>
        </w:rPr>
        <w:tab/>
        <w:t>acetic acid (as free acid and/or sodium acetate)—–not more than 1.0%</w:t>
      </w:r>
    </w:p>
    <w:p w14:paraId="53F7D605" w14:textId="77777777" w:rsidR="003F56FE" w:rsidRDefault="003F56FE" w:rsidP="003F56FE">
      <w:pPr>
        <w:pStyle w:val="FSCtPara"/>
        <w:rPr>
          <w:szCs w:val="20"/>
        </w:rPr>
      </w:pPr>
      <w:r>
        <w:rPr>
          <w:szCs w:val="20"/>
        </w:rPr>
        <w:tab/>
        <w:t>(o)</w:t>
      </w:r>
      <w:r>
        <w:rPr>
          <w:szCs w:val="20"/>
        </w:rPr>
        <w:tab/>
        <w:t>residual proteins—–not more than 0.01%</w:t>
      </w:r>
    </w:p>
    <w:p w14:paraId="65DA6E22" w14:textId="77777777" w:rsidR="003F56FE" w:rsidRDefault="003F56FE" w:rsidP="003F56FE">
      <w:pPr>
        <w:pStyle w:val="FSCtPara"/>
        <w:rPr>
          <w:szCs w:val="20"/>
        </w:rPr>
      </w:pPr>
      <w:r>
        <w:rPr>
          <w:szCs w:val="20"/>
        </w:rPr>
        <w:tab/>
        <w:t>(p)</w:t>
      </w:r>
      <w:r>
        <w:rPr>
          <w:szCs w:val="20"/>
        </w:rPr>
        <w:tab/>
        <w:t>lead—–not more than 0.1 mg/kg</w:t>
      </w:r>
    </w:p>
    <w:p w14:paraId="07BFF2E9" w14:textId="77777777" w:rsidR="003F56FE" w:rsidRDefault="003F56FE" w:rsidP="003F56FE">
      <w:pPr>
        <w:pStyle w:val="ListParagraph"/>
        <w:tabs>
          <w:tab w:val="left" w:pos="1701"/>
        </w:tabs>
        <w:ind w:left="2268" w:hanging="2268"/>
        <w:rPr>
          <w:sz w:val="20"/>
          <w:szCs w:val="20"/>
        </w:rPr>
      </w:pPr>
      <w:r>
        <w:rPr>
          <w:sz w:val="20"/>
          <w:szCs w:val="20"/>
        </w:rPr>
        <w:tab/>
        <w:t>(q)</w:t>
      </w:r>
      <w:r>
        <w:rPr>
          <w:sz w:val="20"/>
          <w:szCs w:val="20"/>
        </w:rPr>
        <w:tab/>
        <w:t>microbiological:</w:t>
      </w:r>
    </w:p>
    <w:p w14:paraId="69D67EFA" w14:textId="77777777" w:rsidR="003F56FE" w:rsidRDefault="003F56FE" w:rsidP="003F56FE">
      <w:pPr>
        <w:pStyle w:val="ListParagraph"/>
        <w:tabs>
          <w:tab w:val="left" w:pos="2268"/>
        </w:tabs>
        <w:ind w:left="2835" w:hanging="2835"/>
        <w:rPr>
          <w:sz w:val="20"/>
          <w:szCs w:val="20"/>
        </w:rPr>
      </w:pPr>
      <w:r>
        <w:rPr>
          <w:i/>
          <w:sz w:val="20"/>
          <w:szCs w:val="20"/>
        </w:rPr>
        <w:tab/>
      </w:r>
      <w:r>
        <w:rPr>
          <w:sz w:val="20"/>
          <w:szCs w:val="20"/>
        </w:rPr>
        <w:t xml:space="preserve">(i) </w:t>
      </w:r>
      <w:r>
        <w:rPr>
          <w:sz w:val="20"/>
          <w:szCs w:val="20"/>
        </w:rPr>
        <w:tab/>
      </w:r>
      <w:r>
        <w:rPr>
          <w:i/>
          <w:sz w:val="20"/>
          <w:szCs w:val="20"/>
        </w:rPr>
        <w:t>salmonella</w:t>
      </w:r>
      <w:r>
        <w:rPr>
          <w:sz w:val="20"/>
          <w:szCs w:val="20"/>
        </w:rPr>
        <w:t>—–absent in 25 g</w:t>
      </w:r>
    </w:p>
    <w:p w14:paraId="64D22EB6" w14:textId="77777777" w:rsidR="003F56FE" w:rsidRDefault="003F56FE" w:rsidP="003F56FE">
      <w:pPr>
        <w:pStyle w:val="ListParagraph"/>
        <w:tabs>
          <w:tab w:val="left" w:pos="2268"/>
        </w:tabs>
        <w:ind w:left="2835" w:hanging="2835"/>
        <w:rPr>
          <w:sz w:val="20"/>
          <w:szCs w:val="20"/>
        </w:rPr>
      </w:pPr>
      <w:r>
        <w:rPr>
          <w:sz w:val="20"/>
          <w:szCs w:val="20"/>
        </w:rPr>
        <w:t xml:space="preserve"> </w:t>
      </w:r>
      <w:r>
        <w:rPr>
          <w:sz w:val="20"/>
          <w:szCs w:val="20"/>
        </w:rPr>
        <w:tab/>
        <w:t xml:space="preserve">(ii) </w:t>
      </w:r>
      <w:r>
        <w:rPr>
          <w:sz w:val="20"/>
          <w:szCs w:val="20"/>
        </w:rPr>
        <w:tab/>
        <w:t>total plate count—–not more than 500 cfu/g</w:t>
      </w:r>
    </w:p>
    <w:p w14:paraId="6E56D98D" w14:textId="77777777" w:rsidR="003F56FE" w:rsidRDefault="003F56FE" w:rsidP="003F56FE">
      <w:pPr>
        <w:pStyle w:val="ListParagraph"/>
        <w:tabs>
          <w:tab w:val="left" w:pos="2268"/>
        </w:tabs>
        <w:ind w:left="2835" w:hanging="2835"/>
        <w:rPr>
          <w:sz w:val="20"/>
          <w:szCs w:val="20"/>
        </w:rPr>
      </w:pPr>
      <w:r>
        <w:rPr>
          <w:sz w:val="20"/>
          <w:szCs w:val="20"/>
        </w:rPr>
        <w:tab/>
        <w:t xml:space="preserve">(iii) </w:t>
      </w:r>
      <w:r>
        <w:rPr>
          <w:sz w:val="20"/>
          <w:szCs w:val="20"/>
        </w:rPr>
        <w:tab/>
        <w:t>enterobacteriaceae—–absent in 10 g</w:t>
      </w:r>
    </w:p>
    <w:p w14:paraId="14E4E379" w14:textId="77777777" w:rsidR="003F56FE" w:rsidRDefault="003F56FE" w:rsidP="003F56FE">
      <w:pPr>
        <w:pStyle w:val="ListParagraph"/>
        <w:tabs>
          <w:tab w:val="left" w:pos="2268"/>
        </w:tabs>
        <w:ind w:left="2835" w:hanging="2835"/>
        <w:rPr>
          <w:sz w:val="20"/>
          <w:szCs w:val="20"/>
        </w:rPr>
      </w:pPr>
      <w:r>
        <w:rPr>
          <w:i/>
          <w:sz w:val="20"/>
          <w:szCs w:val="20"/>
        </w:rPr>
        <w:tab/>
      </w:r>
      <w:r>
        <w:rPr>
          <w:sz w:val="20"/>
          <w:szCs w:val="20"/>
        </w:rPr>
        <w:t xml:space="preserve">(iv) </w:t>
      </w:r>
      <w:r>
        <w:rPr>
          <w:sz w:val="20"/>
          <w:szCs w:val="20"/>
        </w:rPr>
        <w:tab/>
      </w:r>
      <w:r>
        <w:rPr>
          <w:i/>
          <w:sz w:val="20"/>
          <w:szCs w:val="20"/>
        </w:rPr>
        <w:t>cronobacter (Enterobacter) sakazakii</w:t>
      </w:r>
      <w:r>
        <w:rPr>
          <w:sz w:val="20"/>
          <w:szCs w:val="20"/>
        </w:rPr>
        <w:t>—–absent in 10 g</w:t>
      </w:r>
    </w:p>
    <w:p w14:paraId="2BF74624" w14:textId="77777777" w:rsidR="003F56FE" w:rsidRDefault="003F56FE" w:rsidP="003F56FE">
      <w:pPr>
        <w:pStyle w:val="ListParagraph"/>
        <w:tabs>
          <w:tab w:val="left" w:pos="2268"/>
        </w:tabs>
        <w:ind w:left="2835" w:hanging="2835"/>
        <w:rPr>
          <w:sz w:val="20"/>
          <w:szCs w:val="20"/>
        </w:rPr>
      </w:pPr>
      <w:r>
        <w:rPr>
          <w:i/>
          <w:sz w:val="20"/>
          <w:szCs w:val="20"/>
        </w:rPr>
        <w:tab/>
      </w:r>
      <w:r>
        <w:rPr>
          <w:sz w:val="20"/>
          <w:szCs w:val="20"/>
        </w:rPr>
        <w:t xml:space="preserve">(v) </w:t>
      </w:r>
      <w:r>
        <w:rPr>
          <w:sz w:val="20"/>
          <w:szCs w:val="20"/>
        </w:rPr>
        <w:tab/>
      </w:r>
      <w:r>
        <w:rPr>
          <w:i/>
          <w:sz w:val="20"/>
          <w:szCs w:val="20"/>
        </w:rPr>
        <w:t>listeria monocytogenes</w:t>
      </w:r>
      <w:r>
        <w:rPr>
          <w:sz w:val="20"/>
          <w:szCs w:val="20"/>
        </w:rPr>
        <w:t>—–absent in 25 g</w:t>
      </w:r>
    </w:p>
    <w:p w14:paraId="484A9ADC" w14:textId="77777777" w:rsidR="003F56FE" w:rsidRDefault="003F56FE" w:rsidP="003F56FE">
      <w:pPr>
        <w:pStyle w:val="ListParagraph"/>
        <w:tabs>
          <w:tab w:val="left" w:pos="2268"/>
        </w:tabs>
        <w:ind w:left="2835" w:hanging="2835"/>
        <w:rPr>
          <w:sz w:val="20"/>
          <w:szCs w:val="20"/>
        </w:rPr>
      </w:pPr>
      <w:r>
        <w:rPr>
          <w:i/>
          <w:sz w:val="20"/>
          <w:szCs w:val="20"/>
        </w:rPr>
        <w:tab/>
      </w:r>
      <w:r>
        <w:rPr>
          <w:sz w:val="20"/>
          <w:szCs w:val="20"/>
        </w:rPr>
        <w:t xml:space="preserve">(vi) </w:t>
      </w:r>
      <w:r>
        <w:rPr>
          <w:sz w:val="20"/>
          <w:szCs w:val="20"/>
        </w:rPr>
        <w:tab/>
      </w:r>
      <w:r>
        <w:rPr>
          <w:i/>
          <w:sz w:val="20"/>
          <w:szCs w:val="20"/>
        </w:rPr>
        <w:t>bacillus cereus</w:t>
      </w:r>
      <w:r>
        <w:rPr>
          <w:sz w:val="20"/>
          <w:szCs w:val="20"/>
        </w:rPr>
        <w:t>—–not more than 50 cfu/g</w:t>
      </w:r>
    </w:p>
    <w:p w14:paraId="7123C435" w14:textId="77777777" w:rsidR="003F56FE" w:rsidRDefault="003F56FE" w:rsidP="003F56FE">
      <w:pPr>
        <w:pStyle w:val="ListParagraph"/>
        <w:tabs>
          <w:tab w:val="left" w:pos="2268"/>
        </w:tabs>
        <w:ind w:left="2835" w:hanging="2835"/>
        <w:rPr>
          <w:sz w:val="20"/>
          <w:szCs w:val="20"/>
        </w:rPr>
      </w:pPr>
      <w:r>
        <w:rPr>
          <w:sz w:val="20"/>
          <w:szCs w:val="20"/>
        </w:rPr>
        <w:tab/>
        <w:t xml:space="preserve">(vii) </w:t>
      </w:r>
      <w:r>
        <w:rPr>
          <w:sz w:val="20"/>
          <w:szCs w:val="20"/>
        </w:rPr>
        <w:tab/>
        <w:t>yeasts—–not more than 10 cfu/g</w:t>
      </w:r>
    </w:p>
    <w:p w14:paraId="042B20BD" w14:textId="77777777" w:rsidR="003F56FE" w:rsidRDefault="003F56FE" w:rsidP="003F56FE">
      <w:pPr>
        <w:pStyle w:val="ListParagraph"/>
        <w:tabs>
          <w:tab w:val="left" w:pos="2268"/>
        </w:tabs>
        <w:ind w:left="2835" w:hanging="2835"/>
        <w:rPr>
          <w:sz w:val="20"/>
          <w:szCs w:val="20"/>
        </w:rPr>
      </w:pPr>
      <w:r>
        <w:rPr>
          <w:sz w:val="20"/>
          <w:szCs w:val="20"/>
        </w:rPr>
        <w:t xml:space="preserve"> </w:t>
      </w:r>
      <w:r>
        <w:rPr>
          <w:sz w:val="20"/>
          <w:szCs w:val="20"/>
        </w:rPr>
        <w:tab/>
        <w:t>(viii)</w:t>
      </w:r>
      <w:r>
        <w:rPr>
          <w:sz w:val="20"/>
          <w:szCs w:val="20"/>
        </w:rPr>
        <w:tab/>
        <w:t>moulds—–not more than 10 cfu/g</w:t>
      </w:r>
    </w:p>
    <w:p w14:paraId="0593B354" w14:textId="77777777" w:rsidR="003F56FE" w:rsidRDefault="003F56FE" w:rsidP="003F56FE">
      <w:pPr>
        <w:pStyle w:val="FSCtPara"/>
        <w:tabs>
          <w:tab w:val="clear" w:pos="1701"/>
          <w:tab w:val="left" w:pos="2268"/>
        </w:tabs>
        <w:spacing w:before="0" w:after="0"/>
        <w:ind w:left="2835" w:hanging="2835"/>
        <w:rPr>
          <w:szCs w:val="20"/>
        </w:rPr>
      </w:pPr>
      <w:r>
        <w:rPr>
          <w:szCs w:val="20"/>
        </w:rPr>
        <w:tab/>
        <w:t>(ix)</w:t>
      </w:r>
      <w:r>
        <w:rPr>
          <w:szCs w:val="20"/>
        </w:rPr>
        <w:tab/>
        <w:t>residual endotoxins—–not more than 10 EU/mg</w:t>
      </w:r>
    </w:p>
    <w:p w14:paraId="0E5347A1" w14:textId="77777777" w:rsidR="003F56FE" w:rsidRDefault="003F56FE" w:rsidP="003F56FE">
      <w:pPr>
        <w:pStyle w:val="FSCtPara"/>
        <w:tabs>
          <w:tab w:val="clear" w:pos="1701"/>
          <w:tab w:val="left" w:pos="2268"/>
        </w:tabs>
        <w:spacing w:before="0" w:after="0"/>
        <w:ind w:left="2835" w:hanging="2835"/>
        <w:rPr>
          <w:szCs w:val="20"/>
        </w:rPr>
      </w:pPr>
    </w:p>
    <w:p w14:paraId="2BEFA21D" w14:textId="77777777" w:rsidR="003F56FE" w:rsidRDefault="003F56FE" w:rsidP="003F56FE">
      <w:pPr>
        <w:pStyle w:val="FSCh5Section"/>
      </w:pPr>
      <w:r>
        <w:t>S3—41</w:t>
      </w:r>
      <w:r>
        <w:tab/>
        <w:t>Specification for lacto-N-neotetraose</w:t>
      </w:r>
    </w:p>
    <w:p w14:paraId="232AF5F9" w14:textId="77777777" w:rsidR="003F56FE" w:rsidRDefault="003F56FE" w:rsidP="003F56FE">
      <w:pPr>
        <w:pStyle w:val="FSCtMain"/>
        <w:rPr>
          <w:szCs w:val="20"/>
        </w:rPr>
      </w:pPr>
      <w:r>
        <w:rPr>
          <w:szCs w:val="20"/>
        </w:rPr>
        <w:tab/>
      </w:r>
      <w:r>
        <w:rPr>
          <w:szCs w:val="20"/>
        </w:rPr>
        <w:tab/>
        <w:t>For lacto-N-neotetraose (LNnT), the specifications are the following:</w:t>
      </w:r>
    </w:p>
    <w:p w14:paraId="422B1737" w14:textId="77777777" w:rsidR="003F56FE" w:rsidRDefault="003F56FE" w:rsidP="003F56FE">
      <w:pPr>
        <w:pStyle w:val="ListParagraph"/>
        <w:tabs>
          <w:tab w:val="left" w:pos="1701"/>
        </w:tabs>
        <w:spacing w:before="60" w:after="60"/>
        <w:ind w:left="2268" w:hanging="2268"/>
        <w:rPr>
          <w:sz w:val="20"/>
          <w:szCs w:val="20"/>
        </w:rPr>
      </w:pPr>
      <w:r>
        <w:rPr>
          <w:sz w:val="20"/>
          <w:szCs w:val="20"/>
        </w:rPr>
        <w:tab/>
        <w:t xml:space="preserve">(a) </w:t>
      </w:r>
      <w:r>
        <w:rPr>
          <w:sz w:val="20"/>
          <w:szCs w:val="20"/>
        </w:rPr>
        <w:tab/>
        <w:t>chemical name—–β-D-galactopyranosyl-(1→4)-2-acetamido-2-deoxy-β-D-glucopyranosyl-(1→3)-β-D-galactopyranosyl-(1→4)-D-glucopyranose</w:t>
      </w:r>
    </w:p>
    <w:p w14:paraId="0A2676F2" w14:textId="77777777" w:rsidR="003F56FE" w:rsidRDefault="003F56FE" w:rsidP="003F56FE">
      <w:pPr>
        <w:tabs>
          <w:tab w:val="left" w:pos="1701"/>
        </w:tabs>
        <w:spacing w:before="60" w:after="60"/>
        <w:ind w:left="2268" w:hanging="2268"/>
        <w:rPr>
          <w:sz w:val="20"/>
        </w:rPr>
      </w:pPr>
      <w:r>
        <w:rPr>
          <w:sz w:val="20"/>
        </w:rPr>
        <w:t xml:space="preserve"> </w:t>
      </w:r>
      <w:r>
        <w:rPr>
          <w:sz w:val="20"/>
        </w:rPr>
        <w:tab/>
        <w:t xml:space="preserve">(b) </w:t>
      </w:r>
      <w:r>
        <w:rPr>
          <w:sz w:val="20"/>
        </w:rPr>
        <w:tab/>
        <w:t>chemical formula—–C</w:t>
      </w:r>
      <w:r>
        <w:rPr>
          <w:sz w:val="20"/>
          <w:vertAlign w:val="subscript"/>
        </w:rPr>
        <w:t>26</w:t>
      </w:r>
      <w:r>
        <w:rPr>
          <w:sz w:val="20"/>
        </w:rPr>
        <w:t>H</w:t>
      </w:r>
      <w:r>
        <w:rPr>
          <w:sz w:val="20"/>
          <w:vertAlign w:val="subscript"/>
        </w:rPr>
        <w:t>45</w:t>
      </w:r>
      <w:r>
        <w:rPr>
          <w:sz w:val="20"/>
        </w:rPr>
        <w:t>NO</w:t>
      </w:r>
      <w:r>
        <w:rPr>
          <w:sz w:val="20"/>
          <w:vertAlign w:val="subscript"/>
        </w:rPr>
        <w:t>21</w:t>
      </w:r>
    </w:p>
    <w:p w14:paraId="00ADCCDA" w14:textId="77777777" w:rsidR="003F56FE" w:rsidRDefault="003F56FE" w:rsidP="003F56FE">
      <w:pPr>
        <w:tabs>
          <w:tab w:val="left" w:pos="1701"/>
        </w:tabs>
        <w:spacing w:before="60" w:after="60"/>
        <w:ind w:left="2268" w:hanging="2268"/>
        <w:rPr>
          <w:sz w:val="20"/>
        </w:rPr>
      </w:pPr>
      <w:r>
        <w:rPr>
          <w:sz w:val="20"/>
        </w:rPr>
        <w:tab/>
        <w:t xml:space="preserve">(c) </w:t>
      </w:r>
      <w:r>
        <w:rPr>
          <w:sz w:val="20"/>
        </w:rPr>
        <w:tab/>
        <w:t>CAS number—–13007-32-4</w:t>
      </w:r>
    </w:p>
    <w:p w14:paraId="26987DBF" w14:textId="77777777" w:rsidR="003F56FE" w:rsidRDefault="003F56FE" w:rsidP="003F56FE">
      <w:pPr>
        <w:tabs>
          <w:tab w:val="left" w:pos="1701"/>
        </w:tabs>
        <w:spacing w:before="60" w:after="60"/>
        <w:ind w:left="2268" w:hanging="2268"/>
        <w:rPr>
          <w:sz w:val="20"/>
        </w:rPr>
      </w:pPr>
      <w:r>
        <w:rPr>
          <w:sz w:val="20"/>
        </w:rPr>
        <w:tab/>
        <w:t>(d)</w:t>
      </w:r>
      <w:r>
        <w:rPr>
          <w:sz w:val="20"/>
        </w:rPr>
        <w:tab/>
        <w:t>description—–white to off white powder or agglomerates</w:t>
      </w:r>
    </w:p>
    <w:p w14:paraId="431CC4DB" w14:textId="77777777" w:rsidR="003F56FE" w:rsidRDefault="003F56FE" w:rsidP="003F56FE">
      <w:pPr>
        <w:tabs>
          <w:tab w:val="left" w:pos="1701"/>
        </w:tabs>
        <w:spacing w:before="60" w:after="60"/>
        <w:ind w:left="2268" w:hanging="2268"/>
        <w:rPr>
          <w:sz w:val="20"/>
        </w:rPr>
      </w:pPr>
      <w:r>
        <w:rPr>
          <w:sz w:val="20"/>
        </w:rPr>
        <w:tab/>
        <w:t xml:space="preserve">(e) </w:t>
      </w:r>
      <w:r>
        <w:rPr>
          <w:sz w:val="20"/>
        </w:rPr>
        <w:tab/>
        <w:t xml:space="preserve">assay (water free) for sum of </w:t>
      </w:r>
      <w:r>
        <w:rPr>
          <w:rFonts w:cs="Arial"/>
          <w:sz w:val="20"/>
        </w:rPr>
        <w:t>LNnT, lactose, lacto-</w:t>
      </w:r>
      <w:r>
        <w:rPr>
          <w:rFonts w:cs="Arial"/>
          <w:iCs/>
          <w:sz w:val="20"/>
        </w:rPr>
        <w:t>N-</w:t>
      </w:r>
      <w:r>
        <w:rPr>
          <w:rFonts w:cs="Arial"/>
          <w:sz w:val="20"/>
        </w:rPr>
        <w:t xml:space="preserve">triose II, and </w:t>
      </w:r>
      <w:r>
        <w:rPr>
          <w:rFonts w:cs="Arial"/>
          <w:i/>
          <w:iCs/>
          <w:sz w:val="20"/>
        </w:rPr>
        <w:t>para</w:t>
      </w:r>
      <w:r>
        <w:rPr>
          <w:rFonts w:cs="Arial"/>
          <w:sz w:val="20"/>
        </w:rPr>
        <w:t>-lacto-</w:t>
      </w:r>
      <w:r>
        <w:rPr>
          <w:rFonts w:cs="Arial"/>
          <w:iCs/>
          <w:sz w:val="20"/>
        </w:rPr>
        <w:t>N-</w:t>
      </w:r>
      <w:r>
        <w:rPr>
          <w:rFonts w:cs="Arial"/>
          <w:sz w:val="20"/>
        </w:rPr>
        <w:t>hexaose</w:t>
      </w:r>
      <w:r>
        <w:rPr>
          <w:sz w:val="20"/>
        </w:rPr>
        <w:t>—–not less than 95.0%</w:t>
      </w:r>
    </w:p>
    <w:p w14:paraId="41B8DAF1" w14:textId="77777777" w:rsidR="003F56FE" w:rsidRDefault="003F56FE" w:rsidP="003F56FE">
      <w:pPr>
        <w:tabs>
          <w:tab w:val="left" w:pos="1701"/>
        </w:tabs>
        <w:spacing w:before="60" w:after="60"/>
        <w:ind w:left="2268" w:hanging="2268"/>
        <w:rPr>
          <w:sz w:val="20"/>
        </w:rPr>
      </w:pPr>
      <w:r>
        <w:rPr>
          <w:sz w:val="20"/>
        </w:rPr>
        <w:tab/>
        <w:t>(f)</w:t>
      </w:r>
      <w:r>
        <w:rPr>
          <w:sz w:val="20"/>
        </w:rPr>
        <w:tab/>
      </w:r>
      <w:r>
        <w:rPr>
          <w:rFonts w:cs="Arial"/>
          <w:sz w:val="20"/>
        </w:rPr>
        <w:t xml:space="preserve">assay (water free) </w:t>
      </w:r>
      <w:r>
        <w:rPr>
          <w:sz w:val="20"/>
        </w:rPr>
        <w:t>LNnT—–not less than 92.0%</w:t>
      </w:r>
    </w:p>
    <w:p w14:paraId="6BB41562" w14:textId="77777777" w:rsidR="003F56FE" w:rsidRDefault="003F56FE" w:rsidP="003F56FE">
      <w:pPr>
        <w:tabs>
          <w:tab w:val="left" w:pos="1701"/>
        </w:tabs>
        <w:spacing w:before="60" w:after="60"/>
        <w:ind w:left="2268" w:hanging="2268"/>
        <w:rPr>
          <w:sz w:val="20"/>
        </w:rPr>
      </w:pPr>
      <w:r>
        <w:rPr>
          <w:sz w:val="20"/>
        </w:rPr>
        <w:tab/>
        <w:t xml:space="preserve">(g) </w:t>
      </w:r>
      <w:r>
        <w:rPr>
          <w:sz w:val="20"/>
        </w:rPr>
        <w:tab/>
        <w:t>D-lactose—–not more than 3.0%</w:t>
      </w:r>
    </w:p>
    <w:p w14:paraId="76A53587" w14:textId="77777777" w:rsidR="003F56FE" w:rsidRDefault="003F56FE" w:rsidP="003F56FE">
      <w:pPr>
        <w:tabs>
          <w:tab w:val="left" w:pos="1701"/>
        </w:tabs>
        <w:spacing w:before="60" w:after="60"/>
        <w:ind w:left="2268" w:hanging="2268"/>
        <w:rPr>
          <w:sz w:val="20"/>
        </w:rPr>
      </w:pPr>
      <w:r>
        <w:rPr>
          <w:sz w:val="20"/>
        </w:rPr>
        <w:tab/>
        <w:t>(h)</w:t>
      </w:r>
      <w:r>
        <w:rPr>
          <w:sz w:val="20"/>
        </w:rPr>
        <w:tab/>
        <w:t>lacto-N-triose II—–not more than 3.0%</w:t>
      </w:r>
    </w:p>
    <w:p w14:paraId="3B036FA8" w14:textId="77777777" w:rsidR="003F56FE" w:rsidRDefault="003F56FE" w:rsidP="003F56FE">
      <w:pPr>
        <w:tabs>
          <w:tab w:val="left" w:pos="1701"/>
        </w:tabs>
        <w:spacing w:before="60" w:after="60"/>
        <w:ind w:left="2268" w:hanging="2268"/>
        <w:rPr>
          <w:sz w:val="20"/>
        </w:rPr>
      </w:pPr>
      <w:r>
        <w:rPr>
          <w:sz w:val="20"/>
        </w:rPr>
        <w:tab/>
        <w:t>(i)</w:t>
      </w:r>
      <w:r>
        <w:rPr>
          <w:sz w:val="20"/>
        </w:rPr>
        <w:tab/>
      </w:r>
      <w:r>
        <w:rPr>
          <w:i/>
          <w:sz w:val="20"/>
        </w:rPr>
        <w:t>para</w:t>
      </w:r>
      <w:r>
        <w:rPr>
          <w:sz w:val="20"/>
        </w:rPr>
        <w:t>-lacto-N-neohexaose—–not more than 3.0%</w:t>
      </w:r>
    </w:p>
    <w:p w14:paraId="0DDF645D" w14:textId="77777777" w:rsidR="003F56FE" w:rsidRDefault="003F56FE" w:rsidP="003F56FE">
      <w:pPr>
        <w:tabs>
          <w:tab w:val="left" w:pos="1701"/>
        </w:tabs>
        <w:spacing w:before="60" w:after="60"/>
        <w:ind w:left="2268" w:hanging="2268"/>
        <w:rPr>
          <w:sz w:val="20"/>
        </w:rPr>
      </w:pPr>
      <w:r>
        <w:rPr>
          <w:sz w:val="20"/>
        </w:rPr>
        <w:tab/>
        <w:t>(j)</w:t>
      </w:r>
      <w:r>
        <w:rPr>
          <w:sz w:val="20"/>
        </w:rPr>
        <w:tab/>
        <w:t>LNnT fructose isomer—–not more than 1.0%</w:t>
      </w:r>
    </w:p>
    <w:p w14:paraId="4E19FF94" w14:textId="77777777" w:rsidR="003F56FE" w:rsidRDefault="003F56FE" w:rsidP="003F56FE">
      <w:pPr>
        <w:tabs>
          <w:tab w:val="left" w:pos="1701"/>
        </w:tabs>
        <w:spacing w:before="60" w:after="60"/>
        <w:ind w:left="2268" w:hanging="2268"/>
        <w:rPr>
          <w:sz w:val="20"/>
        </w:rPr>
      </w:pPr>
      <w:r>
        <w:rPr>
          <w:sz w:val="20"/>
        </w:rPr>
        <w:tab/>
        <w:t xml:space="preserve">(k) </w:t>
      </w:r>
      <w:r>
        <w:rPr>
          <w:sz w:val="20"/>
        </w:rPr>
        <w:tab/>
        <w:t>pH (20°C, 5% solution) —–4.0 to 7.0</w:t>
      </w:r>
    </w:p>
    <w:p w14:paraId="566EA8A8" w14:textId="77777777" w:rsidR="003F56FE" w:rsidRDefault="003F56FE" w:rsidP="003F56FE">
      <w:pPr>
        <w:tabs>
          <w:tab w:val="left" w:pos="1701"/>
        </w:tabs>
        <w:spacing w:before="60" w:after="60"/>
        <w:ind w:left="2268" w:hanging="2268"/>
        <w:rPr>
          <w:sz w:val="20"/>
        </w:rPr>
      </w:pPr>
      <w:r>
        <w:rPr>
          <w:sz w:val="20"/>
        </w:rPr>
        <w:tab/>
        <w:t>(l)</w:t>
      </w:r>
      <w:r>
        <w:rPr>
          <w:sz w:val="20"/>
        </w:rPr>
        <w:tab/>
        <w:t>water—–not more than 9.0%</w:t>
      </w:r>
    </w:p>
    <w:p w14:paraId="6E491157" w14:textId="77777777" w:rsidR="003F56FE" w:rsidRDefault="003F56FE" w:rsidP="003F56FE">
      <w:pPr>
        <w:tabs>
          <w:tab w:val="left" w:pos="1701"/>
        </w:tabs>
        <w:spacing w:before="60" w:after="60"/>
        <w:ind w:left="2268" w:hanging="2268"/>
        <w:rPr>
          <w:sz w:val="20"/>
        </w:rPr>
      </w:pPr>
      <w:r>
        <w:rPr>
          <w:sz w:val="20"/>
        </w:rPr>
        <w:tab/>
        <w:t xml:space="preserve">(m) </w:t>
      </w:r>
      <w:r>
        <w:rPr>
          <w:sz w:val="20"/>
        </w:rPr>
        <w:tab/>
        <w:t>ash, sulphated—–not more than 1.5%</w:t>
      </w:r>
    </w:p>
    <w:p w14:paraId="042B2E6B" w14:textId="77777777" w:rsidR="003F56FE" w:rsidRDefault="003F56FE" w:rsidP="003F56FE">
      <w:pPr>
        <w:tabs>
          <w:tab w:val="left" w:pos="1701"/>
        </w:tabs>
        <w:spacing w:before="60" w:after="60"/>
        <w:ind w:left="2268" w:hanging="2268"/>
        <w:rPr>
          <w:sz w:val="20"/>
        </w:rPr>
      </w:pPr>
      <w:r>
        <w:rPr>
          <w:sz w:val="20"/>
        </w:rPr>
        <w:tab/>
        <w:t>(n)</w:t>
      </w:r>
      <w:r>
        <w:rPr>
          <w:sz w:val="20"/>
        </w:rPr>
        <w:tab/>
        <w:t>methanol—–not more than 100 mg/kg</w:t>
      </w:r>
    </w:p>
    <w:p w14:paraId="07A0836F" w14:textId="77777777" w:rsidR="003F56FE" w:rsidRDefault="003F56FE" w:rsidP="003F56FE">
      <w:pPr>
        <w:tabs>
          <w:tab w:val="left" w:pos="1701"/>
        </w:tabs>
        <w:spacing w:before="60" w:after="60"/>
        <w:ind w:left="2268" w:hanging="2268"/>
        <w:rPr>
          <w:sz w:val="20"/>
        </w:rPr>
      </w:pPr>
      <w:r>
        <w:rPr>
          <w:sz w:val="20"/>
        </w:rPr>
        <w:tab/>
        <w:t>(o)</w:t>
      </w:r>
      <w:r>
        <w:rPr>
          <w:sz w:val="20"/>
        </w:rPr>
        <w:tab/>
        <w:t>residual proteins—–not more than 0.01%</w:t>
      </w:r>
    </w:p>
    <w:p w14:paraId="33DEF485" w14:textId="77777777" w:rsidR="003F56FE" w:rsidRDefault="003F56FE" w:rsidP="003F56FE">
      <w:pPr>
        <w:tabs>
          <w:tab w:val="left" w:pos="1701"/>
        </w:tabs>
        <w:spacing w:before="60" w:after="60"/>
        <w:ind w:left="2268" w:hanging="2268"/>
        <w:rPr>
          <w:sz w:val="20"/>
        </w:rPr>
      </w:pPr>
      <w:r>
        <w:rPr>
          <w:sz w:val="20"/>
        </w:rPr>
        <w:tab/>
        <w:t>(p)</w:t>
      </w:r>
      <w:r>
        <w:rPr>
          <w:sz w:val="20"/>
        </w:rPr>
        <w:tab/>
        <w:t>lead—–not more than 0.1 mg/kg</w:t>
      </w:r>
    </w:p>
    <w:p w14:paraId="0B5758D4" w14:textId="77777777" w:rsidR="003F56FE" w:rsidRDefault="003F56FE" w:rsidP="003F56FE">
      <w:pPr>
        <w:tabs>
          <w:tab w:val="left" w:pos="1701"/>
        </w:tabs>
        <w:spacing w:before="60" w:after="60"/>
        <w:ind w:left="2268" w:hanging="2268"/>
        <w:rPr>
          <w:sz w:val="20"/>
        </w:rPr>
      </w:pPr>
      <w:r>
        <w:rPr>
          <w:sz w:val="20"/>
        </w:rPr>
        <w:tab/>
        <w:t>(q)</w:t>
      </w:r>
      <w:r>
        <w:rPr>
          <w:sz w:val="20"/>
        </w:rPr>
        <w:tab/>
        <w:t>microbiological:</w:t>
      </w:r>
    </w:p>
    <w:p w14:paraId="30F76D92" w14:textId="77777777" w:rsidR="003F56FE" w:rsidRDefault="003F56FE" w:rsidP="003F56FE">
      <w:pPr>
        <w:tabs>
          <w:tab w:val="left" w:pos="2268"/>
        </w:tabs>
        <w:ind w:left="2835" w:hanging="2835"/>
        <w:rPr>
          <w:sz w:val="20"/>
        </w:rPr>
      </w:pPr>
      <w:r>
        <w:rPr>
          <w:i/>
          <w:sz w:val="20"/>
        </w:rPr>
        <w:tab/>
      </w:r>
      <w:r>
        <w:rPr>
          <w:sz w:val="20"/>
        </w:rPr>
        <w:t xml:space="preserve">(i) </w:t>
      </w:r>
      <w:r>
        <w:rPr>
          <w:sz w:val="20"/>
        </w:rPr>
        <w:tab/>
      </w:r>
      <w:r>
        <w:rPr>
          <w:i/>
          <w:sz w:val="20"/>
        </w:rPr>
        <w:t>salmonella</w:t>
      </w:r>
      <w:r>
        <w:rPr>
          <w:sz w:val="20"/>
        </w:rPr>
        <w:t>—–absent in 25 g</w:t>
      </w:r>
    </w:p>
    <w:p w14:paraId="1F33487E" w14:textId="77777777" w:rsidR="003F56FE" w:rsidRDefault="003F56FE" w:rsidP="003F56FE">
      <w:pPr>
        <w:tabs>
          <w:tab w:val="left" w:pos="2268"/>
        </w:tabs>
        <w:ind w:left="2835" w:hanging="2835"/>
        <w:rPr>
          <w:sz w:val="20"/>
        </w:rPr>
      </w:pPr>
      <w:r>
        <w:rPr>
          <w:i/>
          <w:sz w:val="20"/>
        </w:rPr>
        <w:tab/>
      </w:r>
      <w:r>
        <w:rPr>
          <w:sz w:val="20"/>
        </w:rPr>
        <w:t xml:space="preserve">(ii) </w:t>
      </w:r>
      <w:r>
        <w:rPr>
          <w:sz w:val="20"/>
        </w:rPr>
        <w:tab/>
        <w:t>total plate count—–not more than 500 cfu/g</w:t>
      </w:r>
    </w:p>
    <w:p w14:paraId="0D70C412" w14:textId="77777777" w:rsidR="003F56FE" w:rsidRDefault="003F56FE" w:rsidP="003F56FE">
      <w:pPr>
        <w:tabs>
          <w:tab w:val="left" w:pos="2268"/>
        </w:tabs>
        <w:ind w:left="2835" w:hanging="2835"/>
        <w:rPr>
          <w:sz w:val="20"/>
        </w:rPr>
      </w:pPr>
      <w:r>
        <w:rPr>
          <w:i/>
          <w:sz w:val="20"/>
        </w:rPr>
        <w:tab/>
      </w:r>
      <w:r>
        <w:rPr>
          <w:sz w:val="20"/>
        </w:rPr>
        <w:t>(iii)</w:t>
      </w:r>
      <w:r>
        <w:rPr>
          <w:sz w:val="20"/>
        </w:rPr>
        <w:tab/>
        <w:t>enterobacteriaceae—–absent in 10 g</w:t>
      </w:r>
    </w:p>
    <w:p w14:paraId="3A1EA627" w14:textId="77777777" w:rsidR="003F56FE" w:rsidRDefault="003F56FE" w:rsidP="003F56FE">
      <w:pPr>
        <w:tabs>
          <w:tab w:val="left" w:pos="2268"/>
        </w:tabs>
        <w:ind w:left="2835" w:hanging="2835"/>
        <w:rPr>
          <w:sz w:val="20"/>
        </w:rPr>
      </w:pPr>
      <w:r>
        <w:rPr>
          <w:i/>
          <w:sz w:val="20"/>
        </w:rPr>
        <w:tab/>
      </w:r>
      <w:r>
        <w:rPr>
          <w:sz w:val="20"/>
        </w:rPr>
        <w:t>(iv)</w:t>
      </w:r>
      <w:r>
        <w:rPr>
          <w:sz w:val="20"/>
        </w:rPr>
        <w:tab/>
      </w:r>
      <w:r>
        <w:rPr>
          <w:i/>
          <w:sz w:val="20"/>
        </w:rPr>
        <w:t>cronobacter (Enterobacter) sakazakii</w:t>
      </w:r>
      <w:r>
        <w:rPr>
          <w:sz w:val="20"/>
        </w:rPr>
        <w:t>—–absent in 10 g</w:t>
      </w:r>
    </w:p>
    <w:p w14:paraId="44D9082D" w14:textId="77777777" w:rsidR="003F56FE" w:rsidRDefault="003F56FE" w:rsidP="003F56FE">
      <w:pPr>
        <w:tabs>
          <w:tab w:val="left" w:pos="2268"/>
        </w:tabs>
        <w:ind w:left="2835" w:hanging="2835"/>
        <w:rPr>
          <w:sz w:val="20"/>
        </w:rPr>
      </w:pPr>
      <w:r>
        <w:rPr>
          <w:i/>
          <w:sz w:val="20"/>
        </w:rPr>
        <w:tab/>
      </w:r>
      <w:r>
        <w:rPr>
          <w:sz w:val="20"/>
        </w:rPr>
        <w:t>(v)</w:t>
      </w:r>
      <w:r>
        <w:rPr>
          <w:sz w:val="20"/>
        </w:rPr>
        <w:tab/>
      </w:r>
      <w:r>
        <w:rPr>
          <w:i/>
          <w:sz w:val="20"/>
        </w:rPr>
        <w:t>listeria monocytogenes</w:t>
      </w:r>
      <w:r>
        <w:rPr>
          <w:sz w:val="20"/>
        </w:rPr>
        <w:t>—–absent in 25 g</w:t>
      </w:r>
    </w:p>
    <w:p w14:paraId="551B704D" w14:textId="77777777" w:rsidR="003F56FE" w:rsidRDefault="003F56FE" w:rsidP="003F56FE">
      <w:pPr>
        <w:tabs>
          <w:tab w:val="left" w:pos="2268"/>
        </w:tabs>
        <w:ind w:left="2835" w:hanging="2835"/>
        <w:rPr>
          <w:sz w:val="20"/>
        </w:rPr>
      </w:pPr>
      <w:r>
        <w:rPr>
          <w:i/>
          <w:sz w:val="20"/>
        </w:rPr>
        <w:tab/>
      </w:r>
      <w:r>
        <w:rPr>
          <w:sz w:val="20"/>
        </w:rPr>
        <w:t>(vi)</w:t>
      </w:r>
      <w:r>
        <w:rPr>
          <w:sz w:val="20"/>
        </w:rPr>
        <w:tab/>
      </w:r>
      <w:r>
        <w:rPr>
          <w:i/>
          <w:sz w:val="20"/>
        </w:rPr>
        <w:t>bacillus cereus</w:t>
      </w:r>
      <w:r>
        <w:rPr>
          <w:sz w:val="20"/>
        </w:rPr>
        <w:t>—–not more than 50 cfu/g</w:t>
      </w:r>
    </w:p>
    <w:p w14:paraId="18B01E87" w14:textId="77777777" w:rsidR="003F56FE" w:rsidRDefault="003F56FE" w:rsidP="003F56FE">
      <w:pPr>
        <w:tabs>
          <w:tab w:val="left" w:pos="2268"/>
        </w:tabs>
        <w:ind w:left="2835" w:hanging="2835"/>
        <w:rPr>
          <w:sz w:val="20"/>
        </w:rPr>
      </w:pPr>
      <w:r>
        <w:rPr>
          <w:i/>
          <w:sz w:val="20"/>
        </w:rPr>
        <w:tab/>
      </w:r>
      <w:r>
        <w:rPr>
          <w:sz w:val="20"/>
        </w:rPr>
        <w:t>(vii)</w:t>
      </w:r>
      <w:r>
        <w:rPr>
          <w:sz w:val="20"/>
        </w:rPr>
        <w:tab/>
        <w:t>yeasts—–not more than 10 cfu/g</w:t>
      </w:r>
    </w:p>
    <w:p w14:paraId="378FF1BE" w14:textId="77777777" w:rsidR="003F56FE" w:rsidRDefault="003F56FE" w:rsidP="003F56FE">
      <w:pPr>
        <w:tabs>
          <w:tab w:val="left" w:pos="2268"/>
        </w:tabs>
        <w:ind w:left="2835" w:hanging="2835"/>
        <w:rPr>
          <w:sz w:val="20"/>
        </w:rPr>
      </w:pPr>
      <w:r>
        <w:rPr>
          <w:i/>
          <w:sz w:val="20"/>
        </w:rPr>
        <w:tab/>
      </w:r>
      <w:r>
        <w:rPr>
          <w:sz w:val="20"/>
        </w:rPr>
        <w:t>(viii)</w:t>
      </w:r>
      <w:r>
        <w:rPr>
          <w:sz w:val="20"/>
        </w:rPr>
        <w:tab/>
        <w:t>moulds—–not more than 10 cfu/g</w:t>
      </w:r>
    </w:p>
    <w:p w14:paraId="2839D18E" w14:textId="77777777" w:rsidR="003F56FE" w:rsidRDefault="003F56FE" w:rsidP="003F56FE">
      <w:pPr>
        <w:tabs>
          <w:tab w:val="left" w:pos="2268"/>
        </w:tabs>
        <w:ind w:left="2835" w:hanging="2835"/>
        <w:rPr>
          <w:sz w:val="20"/>
        </w:rPr>
      </w:pPr>
      <w:r>
        <w:rPr>
          <w:i/>
          <w:sz w:val="20"/>
        </w:rPr>
        <w:tab/>
      </w:r>
      <w:r>
        <w:rPr>
          <w:sz w:val="20"/>
        </w:rPr>
        <w:t>(ix)</w:t>
      </w:r>
      <w:r>
        <w:rPr>
          <w:sz w:val="20"/>
        </w:rPr>
        <w:tab/>
        <w:t xml:space="preserve">residual endotoxins—–not more than 10 EU/mg </w:t>
      </w:r>
    </w:p>
    <w:p w14:paraId="4D28EBA8" w14:textId="77777777" w:rsidR="003F56FE" w:rsidRDefault="003F56FE" w:rsidP="003F56FE"/>
    <w:p w14:paraId="35E57947" w14:textId="77777777" w:rsidR="003F56FE" w:rsidRDefault="003F56FE" w:rsidP="003F56FE">
      <w:pPr>
        <w:pStyle w:val="FSCDraftingitem"/>
        <w:rPr>
          <w:lang w:bidi="en-US"/>
        </w:rPr>
      </w:pPr>
      <w:r>
        <w:rPr>
          <w:b/>
          <w:lang w:bidi="en-US"/>
        </w:rPr>
        <w:t>[5]</w:t>
      </w:r>
      <w:r>
        <w:rPr>
          <w:b/>
          <w:lang w:bidi="en-US"/>
        </w:rPr>
        <w:tab/>
        <w:t>Schedule 26</w:t>
      </w:r>
      <w:r>
        <w:rPr>
          <w:lang w:bidi="en-US"/>
        </w:rPr>
        <w:t xml:space="preserve"> is varied by</w:t>
      </w:r>
    </w:p>
    <w:p w14:paraId="3F6A6C30" w14:textId="77777777" w:rsidR="003F56FE" w:rsidRDefault="003F56FE" w:rsidP="003F56FE">
      <w:pPr>
        <w:pStyle w:val="FSCDraftingitem"/>
        <w:rPr>
          <w:lang w:bidi="en-US"/>
        </w:rPr>
      </w:pPr>
      <w:r>
        <w:rPr>
          <w:lang w:bidi="en-US"/>
        </w:rPr>
        <w:t>[5.1]</w:t>
      </w:r>
      <w:r>
        <w:rPr>
          <w:lang w:bidi="en-US"/>
        </w:rPr>
        <w:tab/>
        <w:t>omitting subsections S</w:t>
      </w:r>
      <w:r>
        <w:t>26—3(1), (2), (2A), and (3), substituting</w:t>
      </w:r>
    </w:p>
    <w:p w14:paraId="70C54DA5" w14:textId="77777777" w:rsidR="003F56FE" w:rsidRDefault="003F56FE" w:rsidP="003F56FE">
      <w:pPr>
        <w:pStyle w:val="FSCtMain"/>
      </w:pPr>
      <w:r>
        <w:tab/>
        <w:t>(1)</w:t>
      </w:r>
      <w:r>
        <w:tab/>
        <w:t>The table to subsection (4) and the table to subsection (7) list permitted food produced using gene technology.</w:t>
      </w:r>
    </w:p>
    <w:p w14:paraId="5C409579" w14:textId="77777777" w:rsidR="003F56FE" w:rsidRDefault="003F56FE" w:rsidP="003F56FE">
      <w:pPr>
        <w:pStyle w:val="FSCtMain"/>
      </w:pPr>
      <w:r>
        <w:tab/>
        <w:t>(2)</w:t>
      </w:r>
      <w:r>
        <w:tab/>
        <w:t>Items 1(g), 2(m), 7(e), (g) and (h), and 9(a) of the table to subsection (4) are subject to the condition that their labelling must comply with section 1.5.2—4.</w:t>
      </w:r>
    </w:p>
    <w:p w14:paraId="34B31767" w14:textId="77777777" w:rsidR="003F56FE" w:rsidRDefault="003F56FE" w:rsidP="003F56FE">
      <w:pPr>
        <w:pStyle w:val="FSCnMain"/>
      </w:pPr>
      <w:r>
        <w:tab/>
      </w:r>
      <w:r>
        <w:rPr>
          <w:b/>
          <w:i/>
        </w:rPr>
        <w:t>Note</w:t>
      </w:r>
      <w:r>
        <w:tab/>
        <w:t>That section requires the statement ‘genetically modified’.</w:t>
      </w:r>
    </w:p>
    <w:p w14:paraId="55959917" w14:textId="77777777" w:rsidR="003F56FE" w:rsidRDefault="003F56FE" w:rsidP="003F56FE">
      <w:pPr>
        <w:pStyle w:val="FSCnMain"/>
        <w:ind w:left="1701" w:hanging="567"/>
        <w:rPr>
          <w:sz w:val="20"/>
          <w:szCs w:val="20"/>
        </w:rPr>
      </w:pPr>
      <w:r>
        <w:rPr>
          <w:sz w:val="20"/>
          <w:szCs w:val="20"/>
        </w:rPr>
        <w:t>(2A)</w:t>
      </w:r>
      <w:r>
        <w:t xml:space="preserve"> </w:t>
      </w:r>
      <w:r>
        <w:tab/>
      </w:r>
      <w:r>
        <w:rPr>
          <w:sz w:val="20"/>
          <w:szCs w:val="20"/>
        </w:rPr>
        <w:t>Products containing beta-carotene from item 6(b) of the table to subsection (4) are subject to the condition that their labelling must comply with section 1.5.2—4.</w:t>
      </w:r>
    </w:p>
    <w:p w14:paraId="671EFCEA" w14:textId="77777777" w:rsidR="003F56FE" w:rsidRDefault="003F56FE" w:rsidP="003F56FE">
      <w:pPr>
        <w:pStyle w:val="FSCtMain"/>
      </w:pPr>
      <w:r>
        <w:tab/>
        <w:t>(3)</w:t>
      </w:r>
      <w:r>
        <w:tab/>
        <w:t>Item 2(m) of the table to subsection (4) is also subject to the condition that, for the labelling provisions, unless the protein content has been removed as part of a refining process, the information relating to *foods produced using gene technology includes a statement to the effect that the high lysine corn line LY038 has been genetically modified to contain increased levels of lysine.</w:t>
      </w:r>
    </w:p>
    <w:p w14:paraId="2AD99CFD" w14:textId="77777777" w:rsidR="003F56FE" w:rsidRDefault="003F56FE" w:rsidP="003F56FE">
      <w:pPr>
        <w:pStyle w:val="FSCDraftingitem"/>
        <w:rPr>
          <w:lang w:bidi="en-US"/>
        </w:rPr>
      </w:pPr>
      <w:r>
        <w:rPr>
          <w:lang w:bidi="en-US"/>
        </w:rPr>
        <w:t>[5.2]</w:t>
      </w:r>
      <w:r>
        <w:rPr>
          <w:lang w:bidi="en-US"/>
        </w:rPr>
        <w:tab/>
        <w:t>omitting the words ‘gene technology’ from the heading to the table to subsection (4), substituting the words’ ‘gene technology of plant origin’.</w:t>
      </w:r>
    </w:p>
    <w:p w14:paraId="796852AC" w14:textId="77777777" w:rsidR="003F56FE" w:rsidRDefault="003F56FE" w:rsidP="003F56FE">
      <w:pPr>
        <w:pStyle w:val="FSCDraftingitem"/>
        <w:rPr>
          <w:lang w:bidi="en-US"/>
        </w:rPr>
      </w:pPr>
      <w:r>
        <w:rPr>
          <w:lang w:bidi="en-US"/>
        </w:rPr>
        <w:t>[5.3]</w:t>
      </w:r>
      <w:r>
        <w:rPr>
          <w:lang w:bidi="en-US"/>
        </w:rPr>
        <w:tab/>
        <w:t xml:space="preserve">inserting after the </w:t>
      </w:r>
      <w:r>
        <w:t>table to subsection (4)</w:t>
      </w:r>
    </w:p>
    <w:p w14:paraId="32389C9A" w14:textId="77777777" w:rsidR="003F56FE" w:rsidRDefault="003F56FE" w:rsidP="003F56FE">
      <w:pPr>
        <w:pStyle w:val="FSCtMain"/>
      </w:pPr>
      <w:r>
        <w:tab/>
        <w:t>(5)</w:t>
      </w:r>
      <w:r>
        <w:tab/>
        <w:t>A food listed in the table to subsection (7) must comply with any corresponding conditions listed in that table.</w:t>
      </w:r>
    </w:p>
    <w:p w14:paraId="40DC8D32" w14:textId="77777777" w:rsidR="003F56FE" w:rsidRDefault="003F56FE" w:rsidP="003F56FE">
      <w:pPr>
        <w:pStyle w:val="FSCtMain"/>
      </w:pPr>
      <w:r>
        <w:tab/>
        <w:t>(6)</w:t>
      </w:r>
      <w:r>
        <w:tab/>
        <w:t>A source listed in the table to subsection (7) may contain additional copies of genes from the same strain.</w:t>
      </w:r>
    </w:p>
    <w:p w14:paraId="68219B6A" w14:textId="77777777" w:rsidR="003F56FE" w:rsidRDefault="003F56FE" w:rsidP="003F56FE">
      <w:pPr>
        <w:pStyle w:val="FSCtMain"/>
      </w:pPr>
      <w:r>
        <w:tab/>
        <w:t>(7)</w:t>
      </w:r>
      <w:r>
        <w:tab/>
        <w:t>The table for this subsection is:</w:t>
      </w:r>
    </w:p>
    <w:p w14:paraId="6C54330E" w14:textId="77777777" w:rsidR="003F56FE" w:rsidRDefault="003F56FE" w:rsidP="003F56FE">
      <w:pPr>
        <w:shd w:val="clear" w:color="auto" w:fill="FFFFFF"/>
        <w:spacing w:after="120"/>
        <w:ind w:left="993"/>
        <w:jc w:val="center"/>
        <w:rPr>
          <w:rFonts w:cs="Arial"/>
          <w:b/>
          <w:sz w:val="19"/>
          <w:szCs w:val="19"/>
          <w:lang w:val="en-US" w:eastAsia="en-GB"/>
        </w:rPr>
      </w:pPr>
      <w:r>
        <w:rPr>
          <w:rFonts w:cs="Arial"/>
          <w:b/>
          <w:sz w:val="19"/>
          <w:szCs w:val="19"/>
          <w:lang w:eastAsia="en-GB"/>
        </w:rPr>
        <w:t xml:space="preserve">Food produced using gene technology of microbial origin </w:t>
      </w:r>
    </w:p>
    <w:tbl>
      <w:tblPr>
        <w:tblW w:w="0" w:type="dxa"/>
        <w:tblLayout w:type="fixed"/>
        <w:tblCellMar>
          <w:left w:w="0" w:type="dxa"/>
          <w:right w:w="0" w:type="dxa"/>
        </w:tblCellMar>
        <w:tblLook w:val="04A0" w:firstRow="1" w:lastRow="0" w:firstColumn="1" w:lastColumn="0" w:noHBand="0" w:noVBand="1"/>
      </w:tblPr>
      <w:tblGrid>
        <w:gridCol w:w="284"/>
        <w:gridCol w:w="2126"/>
        <w:gridCol w:w="279"/>
        <w:gridCol w:w="2414"/>
        <w:gridCol w:w="935"/>
        <w:gridCol w:w="39"/>
        <w:gridCol w:w="97"/>
        <w:gridCol w:w="3891"/>
        <w:gridCol w:w="84"/>
      </w:tblGrid>
      <w:tr w:rsidR="003F56FE" w14:paraId="0A2322E0" w14:textId="77777777" w:rsidTr="003F56FE">
        <w:trPr>
          <w:gridAfter w:val="1"/>
          <w:wAfter w:w="84" w:type="dxa"/>
          <w:cantSplit/>
          <w:trHeight w:val="283"/>
          <w:tblHeader/>
        </w:trPr>
        <w:tc>
          <w:tcPr>
            <w:tcW w:w="2689" w:type="dxa"/>
            <w:gridSpan w:val="3"/>
            <w:tcBorders>
              <w:top w:val="single" w:sz="8" w:space="0" w:color="auto"/>
              <w:left w:val="nil"/>
              <w:bottom w:val="single" w:sz="8" w:space="0" w:color="auto"/>
              <w:right w:val="nil"/>
            </w:tcBorders>
            <w:tcMar>
              <w:top w:w="0" w:type="dxa"/>
              <w:left w:w="108" w:type="dxa"/>
              <w:bottom w:w="0" w:type="dxa"/>
              <w:right w:w="108" w:type="dxa"/>
            </w:tcMar>
            <w:vAlign w:val="center"/>
            <w:hideMark/>
          </w:tcPr>
          <w:p w14:paraId="7537A275" w14:textId="77777777" w:rsidR="003F56FE" w:rsidRDefault="003F56FE" w:rsidP="003F56FE">
            <w:pPr>
              <w:spacing w:before="100" w:beforeAutospacing="1" w:after="100" w:afterAutospacing="1"/>
              <w:rPr>
                <w:rFonts w:cs="Arial"/>
                <w:b/>
                <w:i/>
                <w:sz w:val="18"/>
                <w:szCs w:val="19"/>
                <w:lang w:eastAsia="en-GB"/>
              </w:rPr>
            </w:pPr>
            <w:r>
              <w:rPr>
                <w:rFonts w:cs="Arial"/>
                <w:b/>
                <w:i/>
                <w:sz w:val="18"/>
                <w:szCs w:val="19"/>
                <w:lang w:eastAsia="en-GB"/>
              </w:rPr>
              <w:t>Substance</w:t>
            </w:r>
          </w:p>
        </w:tc>
        <w:tc>
          <w:tcPr>
            <w:tcW w:w="3485" w:type="dxa"/>
            <w:gridSpan w:val="4"/>
            <w:tcBorders>
              <w:top w:val="single" w:sz="8" w:space="0" w:color="auto"/>
              <w:left w:val="nil"/>
              <w:bottom w:val="single" w:sz="8" w:space="0" w:color="auto"/>
              <w:right w:val="nil"/>
            </w:tcBorders>
            <w:vAlign w:val="center"/>
            <w:hideMark/>
          </w:tcPr>
          <w:p w14:paraId="726064CD" w14:textId="77777777" w:rsidR="003F56FE" w:rsidRDefault="003F56FE" w:rsidP="003F56FE">
            <w:pPr>
              <w:spacing w:before="100" w:beforeAutospacing="1" w:after="100" w:afterAutospacing="1"/>
              <w:ind w:right="36"/>
              <w:rPr>
                <w:rFonts w:cs="Arial"/>
                <w:b/>
                <w:i/>
                <w:sz w:val="18"/>
                <w:szCs w:val="19"/>
                <w:lang w:eastAsia="en-GB"/>
              </w:rPr>
            </w:pPr>
            <w:r>
              <w:rPr>
                <w:rFonts w:cs="Arial"/>
                <w:b/>
                <w:i/>
                <w:sz w:val="18"/>
                <w:szCs w:val="19"/>
                <w:lang w:eastAsia="en-GB"/>
              </w:rPr>
              <w:t>Source</w:t>
            </w:r>
          </w:p>
        </w:tc>
        <w:tc>
          <w:tcPr>
            <w:tcW w:w="3891" w:type="dxa"/>
            <w:tcBorders>
              <w:top w:val="single" w:sz="8" w:space="0" w:color="auto"/>
              <w:left w:val="nil"/>
              <w:bottom w:val="single" w:sz="8" w:space="0" w:color="auto"/>
              <w:right w:val="nil"/>
            </w:tcBorders>
            <w:hideMark/>
          </w:tcPr>
          <w:p w14:paraId="770807E0" w14:textId="77777777" w:rsidR="003F56FE" w:rsidRDefault="003F56FE" w:rsidP="003F56FE">
            <w:pPr>
              <w:spacing w:before="100" w:beforeAutospacing="1" w:after="100" w:afterAutospacing="1"/>
              <w:ind w:right="284"/>
              <w:rPr>
                <w:rFonts w:cs="Arial"/>
                <w:b/>
                <w:i/>
                <w:sz w:val="18"/>
                <w:szCs w:val="19"/>
                <w:lang w:eastAsia="en-GB"/>
              </w:rPr>
            </w:pPr>
            <w:r>
              <w:rPr>
                <w:rFonts w:cs="Arial"/>
                <w:b/>
                <w:i/>
                <w:sz w:val="18"/>
                <w:szCs w:val="19"/>
                <w:lang w:eastAsia="en-GB"/>
              </w:rPr>
              <w:t>Conditions of use</w:t>
            </w:r>
          </w:p>
        </w:tc>
      </w:tr>
      <w:tr w:rsidR="003F56FE" w14:paraId="3C996694" w14:textId="77777777" w:rsidTr="003F56FE">
        <w:trPr>
          <w:gridAfter w:val="1"/>
          <w:wAfter w:w="84" w:type="dxa"/>
          <w:cantSplit/>
          <w:trHeight w:val="329"/>
        </w:trPr>
        <w:tc>
          <w:tcPr>
            <w:tcW w:w="284" w:type="dxa"/>
            <w:tcBorders>
              <w:top w:val="nil"/>
              <w:left w:val="nil"/>
              <w:bottom w:val="single" w:sz="4" w:space="0" w:color="auto"/>
              <w:right w:val="nil"/>
            </w:tcBorders>
            <w:tcMar>
              <w:top w:w="0" w:type="dxa"/>
              <w:left w:w="108" w:type="dxa"/>
              <w:bottom w:w="0" w:type="dxa"/>
              <w:right w:w="108" w:type="dxa"/>
            </w:tcMar>
            <w:hideMark/>
          </w:tcPr>
          <w:p w14:paraId="00FDA0A7" w14:textId="77777777" w:rsidR="003F56FE" w:rsidRDefault="003F56FE" w:rsidP="003F56FE">
            <w:pPr>
              <w:spacing w:before="60" w:after="60"/>
              <w:rPr>
                <w:rFonts w:cs="Arial"/>
                <w:sz w:val="18"/>
                <w:szCs w:val="18"/>
                <w:lang w:eastAsia="en-GB"/>
              </w:rPr>
            </w:pPr>
            <w:r>
              <w:rPr>
                <w:rFonts w:cs="Arial"/>
                <w:b/>
                <w:bCs/>
                <w:sz w:val="18"/>
                <w:szCs w:val="18"/>
                <w:lang w:eastAsia="en-GB"/>
              </w:rPr>
              <w:t>1</w:t>
            </w:r>
          </w:p>
        </w:tc>
        <w:tc>
          <w:tcPr>
            <w:tcW w:w="2126" w:type="dxa"/>
            <w:tcBorders>
              <w:top w:val="nil"/>
              <w:left w:val="nil"/>
              <w:bottom w:val="single" w:sz="4" w:space="0" w:color="auto"/>
              <w:right w:val="nil"/>
            </w:tcBorders>
            <w:tcMar>
              <w:top w:w="0" w:type="dxa"/>
              <w:left w:w="108" w:type="dxa"/>
              <w:bottom w:w="0" w:type="dxa"/>
              <w:right w:w="108" w:type="dxa"/>
            </w:tcMar>
            <w:hideMark/>
          </w:tcPr>
          <w:p w14:paraId="1D08DFC4" w14:textId="77777777" w:rsidR="003F56FE" w:rsidRDefault="003F56FE" w:rsidP="003F56FE">
            <w:pPr>
              <w:spacing w:before="60" w:after="60"/>
              <w:rPr>
                <w:rFonts w:cs="Arial"/>
                <w:sz w:val="18"/>
                <w:szCs w:val="18"/>
                <w:lang w:eastAsia="en-GB"/>
              </w:rPr>
            </w:pPr>
            <w:r>
              <w:rPr>
                <w:rFonts w:cs="Arial"/>
                <w:b/>
                <w:bCs/>
                <w:sz w:val="18"/>
                <w:szCs w:val="18"/>
                <w:lang w:eastAsia="en-GB"/>
              </w:rPr>
              <w:t>2′-O-fucosyllactose</w:t>
            </w:r>
          </w:p>
        </w:tc>
        <w:tc>
          <w:tcPr>
            <w:tcW w:w="2693" w:type="dxa"/>
            <w:gridSpan w:val="2"/>
            <w:tcBorders>
              <w:top w:val="nil"/>
              <w:left w:val="nil"/>
              <w:bottom w:val="single" w:sz="4" w:space="0" w:color="auto"/>
              <w:right w:val="nil"/>
            </w:tcBorders>
            <w:hideMark/>
          </w:tcPr>
          <w:p w14:paraId="787D2569" w14:textId="77777777" w:rsidR="003F56FE" w:rsidRDefault="003F56FE" w:rsidP="003F56FE">
            <w:pPr>
              <w:pStyle w:val="ListParagraph"/>
              <w:widowControl/>
              <w:numPr>
                <w:ilvl w:val="0"/>
                <w:numId w:val="41"/>
              </w:numPr>
              <w:spacing w:before="60" w:after="60"/>
              <w:ind w:left="423" w:right="36" w:hanging="286"/>
              <w:rPr>
                <w:rFonts w:cs="Arial"/>
                <w:sz w:val="18"/>
                <w:szCs w:val="18"/>
                <w:lang w:eastAsia="en-GB"/>
              </w:rPr>
            </w:pPr>
            <w:r>
              <w:rPr>
                <w:rFonts w:cs="Arial"/>
                <w:i/>
                <w:sz w:val="18"/>
                <w:szCs w:val="18"/>
                <w:lang w:eastAsia="en-GB"/>
              </w:rPr>
              <w:t>Escherichia coli</w:t>
            </w:r>
            <w:r>
              <w:rPr>
                <w:rFonts w:cs="Arial"/>
                <w:sz w:val="18"/>
                <w:szCs w:val="18"/>
                <w:lang w:eastAsia="en-GB"/>
              </w:rPr>
              <w:t xml:space="preserve"> K-12 containing the gene for alpha-1,2-fucosyltransferase from </w:t>
            </w:r>
            <w:r>
              <w:rPr>
                <w:rFonts w:cs="Arial"/>
                <w:i/>
                <w:sz w:val="18"/>
                <w:szCs w:val="18"/>
                <w:lang w:eastAsia="en-GB"/>
              </w:rPr>
              <w:t>Helicobacter pylori</w:t>
            </w:r>
          </w:p>
        </w:tc>
        <w:tc>
          <w:tcPr>
            <w:tcW w:w="974" w:type="dxa"/>
            <w:gridSpan w:val="2"/>
            <w:tcBorders>
              <w:top w:val="nil"/>
              <w:left w:val="nil"/>
              <w:bottom w:val="single" w:sz="4" w:space="0" w:color="auto"/>
              <w:right w:val="nil"/>
            </w:tcBorders>
            <w:tcMar>
              <w:top w:w="0" w:type="dxa"/>
              <w:left w:w="108" w:type="dxa"/>
              <w:bottom w:w="0" w:type="dxa"/>
              <w:right w:w="108" w:type="dxa"/>
            </w:tcMar>
            <w:hideMark/>
          </w:tcPr>
          <w:p w14:paraId="74113639" w14:textId="77777777" w:rsidR="003F56FE" w:rsidRDefault="003F56FE" w:rsidP="003F56FE">
            <w:pPr>
              <w:rPr>
                <w:rFonts w:cs="Arial"/>
                <w:sz w:val="18"/>
                <w:szCs w:val="18"/>
                <w:lang w:eastAsia="en-GB"/>
              </w:rPr>
            </w:pPr>
          </w:p>
        </w:tc>
        <w:tc>
          <w:tcPr>
            <w:tcW w:w="3988" w:type="dxa"/>
            <w:gridSpan w:val="2"/>
            <w:tcBorders>
              <w:top w:val="nil"/>
              <w:left w:val="nil"/>
              <w:bottom w:val="single" w:sz="4" w:space="0" w:color="auto"/>
              <w:right w:val="nil"/>
            </w:tcBorders>
            <w:hideMark/>
          </w:tcPr>
          <w:p w14:paraId="535A21B7" w14:textId="77777777" w:rsidR="003F56FE" w:rsidRDefault="003F56FE" w:rsidP="003F56FE">
            <w:pPr>
              <w:pStyle w:val="ListParagraph"/>
              <w:widowControl/>
              <w:numPr>
                <w:ilvl w:val="0"/>
                <w:numId w:val="42"/>
              </w:numPr>
              <w:spacing w:before="60" w:after="60"/>
              <w:ind w:left="305" w:right="34" w:hanging="283"/>
              <w:rPr>
                <w:rFonts w:cs="Arial"/>
                <w:sz w:val="18"/>
                <w:szCs w:val="18"/>
                <w:lang w:eastAsia="en-GB"/>
              </w:rPr>
            </w:pPr>
            <w:r>
              <w:rPr>
                <w:rFonts w:cs="Arial"/>
                <w:sz w:val="18"/>
                <w:szCs w:val="18"/>
                <w:lang w:eastAsia="en-AU"/>
              </w:rPr>
              <w:t xml:space="preserve">May only be added to infant formula products and to </w:t>
            </w:r>
            <w:r>
              <w:rPr>
                <w:sz w:val="18"/>
                <w:szCs w:val="18"/>
              </w:rPr>
              <w:t>formulated supplementary food for young children.</w:t>
            </w:r>
          </w:p>
          <w:p w14:paraId="43CC50CF" w14:textId="77777777" w:rsidR="003F56FE" w:rsidRDefault="003F56FE" w:rsidP="003F56FE">
            <w:pPr>
              <w:pStyle w:val="ListParagraph"/>
              <w:widowControl/>
              <w:numPr>
                <w:ilvl w:val="0"/>
                <w:numId w:val="42"/>
              </w:numPr>
              <w:spacing w:before="60" w:after="60"/>
              <w:ind w:left="305" w:right="36" w:hanging="283"/>
              <w:rPr>
                <w:rFonts w:cs="Arial"/>
                <w:sz w:val="18"/>
                <w:szCs w:val="18"/>
                <w:lang w:eastAsia="en-GB"/>
              </w:rPr>
            </w:pPr>
            <w:r>
              <w:rPr>
                <w:rFonts w:cs="Arial"/>
                <w:sz w:val="18"/>
                <w:szCs w:val="18"/>
                <w:lang w:eastAsia="en-GB"/>
              </w:rPr>
              <w:t xml:space="preserve">During the </w:t>
            </w:r>
            <w:r>
              <w:rPr>
                <w:sz w:val="18"/>
                <w:szCs w:val="18"/>
              </w:rPr>
              <w:t xml:space="preserve">exclusive use period, may only be sold under </w:t>
            </w:r>
            <w:r>
              <w:rPr>
                <w:rFonts w:cs="Arial"/>
                <w:sz w:val="18"/>
                <w:szCs w:val="18"/>
                <w:lang w:eastAsia="en-AU"/>
              </w:rPr>
              <w:t>the brand GlyCare.</w:t>
            </w:r>
          </w:p>
          <w:p w14:paraId="1044DB2F" w14:textId="77777777" w:rsidR="003F56FE" w:rsidRDefault="003F56FE" w:rsidP="003F56FE">
            <w:pPr>
              <w:pStyle w:val="ListParagraph"/>
              <w:widowControl/>
              <w:numPr>
                <w:ilvl w:val="0"/>
                <w:numId w:val="42"/>
              </w:numPr>
              <w:spacing w:before="60" w:after="60"/>
              <w:ind w:left="305" w:right="36" w:hanging="283"/>
              <w:rPr>
                <w:rFonts w:cs="Arial"/>
                <w:sz w:val="18"/>
                <w:szCs w:val="18"/>
                <w:lang w:eastAsia="en-GB"/>
              </w:rPr>
            </w:pPr>
            <w:r>
              <w:rPr>
                <w:sz w:val="18"/>
                <w:szCs w:val="18"/>
              </w:rPr>
              <w:t xml:space="preserve">For the purposes of condition 2 above, </w:t>
            </w:r>
            <w:r>
              <w:rPr>
                <w:b/>
                <w:sz w:val="18"/>
                <w:szCs w:val="18"/>
              </w:rPr>
              <w:t>exclusive use period</w:t>
            </w:r>
            <w:r>
              <w:rPr>
                <w:sz w:val="18"/>
                <w:szCs w:val="18"/>
              </w:rPr>
              <w:t xml:space="preserve"> means the period commencing on the date of gazettal of the </w:t>
            </w:r>
            <w:r>
              <w:rPr>
                <w:i/>
                <w:sz w:val="18"/>
                <w:szCs w:val="18"/>
              </w:rPr>
              <w:t>Food Standards (Application A1155 – 2</w:t>
            </w:r>
            <w:r>
              <w:rPr>
                <w:rFonts w:cs="Arial"/>
                <w:i/>
                <w:sz w:val="18"/>
                <w:szCs w:val="18"/>
              </w:rPr>
              <w:t>′</w:t>
            </w:r>
            <w:r>
              <w:rPr>
                <w:i/>
                <w:sz w:val="18"/>
                <w:szCs w:val="18"/>
              </w:rPr>
              <w:t>-FL and LNnT in infant formula and other products) Variation</w:t>
            </w:r>
            <w:r>
              <w:rPr>
                <w:sz w:val="18"/>
                <w:szCs w:val="18"/>
              </w:rPr>
              <w:t xml:space="preserve"> and ending 15 months after that date.</w:t>
            </w:r>
          </w:p>
        </w:tc>
      </w:tr>
      <w:tr w:rsidR="003F56FE" w14:paraId="361C5293" w14:textId="77777777" w:rsidTr="003F56FE">
        <w:trPr>
          <w:cantSplit/>
          <w:trHeight w:val="329"/>
        </w:trPr>
        <w:tc>
          <w:tcPr>
            <w:tcW w:w="284" w:type="dxa"/>
            <w:tcBorders>
              <w:top w:val="nil"/>
              <w:left w:val="nil"/>
              <w:bottom w:val="single" w:sz="4" w:space="0" w:color="auto"/>
              <w:right w:val="nil"/>
            </w:tcBorders>
            <w:tcMar>
              <w:top w:w="0" w:type="dxa"/>
              <w:left w:w="108" w:type="dxa"/>
              <w:bottom w:w="0" w:type="dxa"/>
              <w:right w:w="108" w:type="dxa"/>
            </w:tcMar>
            <w:hideMark/>
          </w:tcPr>
          <w:p w14:paraId="640100B3" w14:textId="77777777" w:rsidR="003F56FE" w:rsidRDefault="003F56FE" w:rsidP="003F56FE">
            <w:pPr>
              <w:spacing w:before="60" w:after="60"/>
              <w:rPr>
                <w:rFonts w:cs="Arial"/>
                <w:b/>
                <w:bCs/>
                <w:sz w:val="18"/>
                <w:szCs w:val="18"/>
                <w:lang w:eastAsia="en-GB"/>
              </w:rPr>
            </w:pPr>
            <w:r>
              <w:rPr>
                <w:rFonts w:cs="Arial"/>
                <w:b/>
                <w:bCs/>
                <w:sz w:val="18"/>
                <w:szCs w:val="18"/>
                <w:lang w:eastAsia="en-GB"/>
              </w:rPr>
              <w:t>2</w:t>
            </w:r>
          </w:p>
        </w:tc>
        <w:tc>
          <w:tcPr>
            <w:tcW w:w="2126" w:type="dxa"/>
            <w:tcBorders>
              <w:top w:val="nil"/>
              <w:left w:val="nil"/>
              <w:bottom w:val="single" w:sz="4" w:space="0" w:color="auto"/>
              <w:right w:val="nil"/>
            </w:tcBorders>
            <w:tcMar>
              <w:top w:w="0" w:type="dxa"/>
              <w:left w:w="108" w:type="dxa"/>
              <w:bottom w:w="0" w:type="dxa"/>
              <w:right w:w="108" w:type="dxa"/>
            </w:tcMar>
            <w:hideMark/>
          </w:tcPr>
          <w:p w14:paraId="1584B111" w14:textId="77777777" w:rsidR="003F56FE" w:rsidRDefault="003F56FE" w:rsidP="003F56FE">
            <w:pPr>
              <w:spacing w:before="60" w:after="60"/>
              <w:rPr>
                <w:rFonts w:cs="Arial"/>
                <w:b/>
                <w:bCs/>
                <w:sz w:val="18"/>
                <w:szCs w:val="18"/>
                <w:lang w:eastAsia="en-GB"/>
              </w:rPr>
            </w:pPr>
            <w:r>
              <w:rPr>
                <w:rFonts w:cs="Arial"/>
                <w:b/>
                <w:bCs/>
                <w:sz w:val="18"/>
                <w:szCs w:val="18"/>
                <w:lang w:eastAsia="en-GB"/>
              </w:rPr>
              <w:t>Lacto-N-neotetraose</w:t>
            </w:r>
          </w:p>
        </w:tc>
        <w:tc>
          <w:tcPr>
            <w:tcW w:w="2693" w:type="dxa"/>
            <w:gridSpan w:val="2"/>
            <w:tcBorders>
              <w:top w:val="nil"/>
              <w:left w:val="nil"/>
              <w:bottom w:val="single" w:sz="4" w:space="0" w:color="auto"/>
              <w:right w:val="nil"/>
            </w:tcBorders>
            <w:hideMark/>
          </w:tcPr>
          <w:p w14:paraId="1E898B15" w14:textId="77777777" w:rsidR="003F56FE" w:rsidRDefault="003F56FE" w:rsidP="003F56FE">
            <w:pPr>
              <w:pStyle w:val="ListParagraph"/>
              <w:widowControl/>
              <w:numPr>
                <w:ilvl w:val="0"/>
                <w:numId w:val="43"/>
              </w:numPr>
              <w:spacing w:before="60" w:after="60"/>
              <w:ind w:left="423" w:right="36" w:hanging="286"/>
              <w:rPr>
                <w:rFonts w:cs="Arial"/>
                <w:sz w:val="18"/>
                <w:szCs w:val="18"/>
                <w:lang w:eastAsia="en-GB"/>
              </w:rPr>
            </w:pPr>
            <w:r>
              <w:rPr>
                <w:rFonts w:cs="Arial"/>
                <w:i/>
                <w:sz w:val="18"/>
                <w:szCs w:val="18"/>
                <w:lang w:eastAsia="en-GB"/>
              </w:rPr>
              <w:t>Escherichia coli</w:t>
            </w:r>
            <w:r>
              <w:rPr>
                <w:rFonts w:cs="Arial"/>
                <w:sz w:val="18"/>
                <w:szCs w:val="18"/>
                <w:lang w:eastAsia="en-GB"/>
              </w:rPr>
              <w:t xml:space="preserve"> K-12 containing the gene for beta-1,3-N-acetylglucosaminyltransferase from </w:t>
            </w:r>
            <w:r>
              <w:rPr>
                <w:rFonts w:cs="Arial"/>
                <w:i/>
                <w:sz w:val="18"/>
                <w:szCs w:val="18"/>
                <w:lang w:eastAsia="en-GB"/>
              </w:rPr>
              <w:t>Neisseria meningitides</w:t>
            </w:r>
            <w:r>
              <w:rPr>
                <w:rFonts w:cs="Arial"/>
                <w:sz w:val="18"/>
                <w:szCs w:val="18"/>
                <w:lang w:eastAsia="en-GB"/>
              </w:rPr>
              <w:t xml:space="preserve"> and the gene for beta-1,4-galactosyltransferase from </w:t>
            </w:r>
            <w:r>
              <w:rPr>
                <w:rFonts w:cs="Arial"/>
                <w:i/>
                <w:sz w:val="18"/>
                <w:szCs w:val="18"/>
                <w:lang w:eastAsia="en-GB"/>
              </w:rPr>
              <w:t>Helicobacter pylori</w:t>
            </w:r>
          </w:p>
        </w:tc>
        <w:tc>
          <w:tcPr>
            <w:tcW w:w="935" w:type="dxa"/>
            <w:tcBorders>
              <w:top w:val="nil"/>
              <w:left w:val="nil"/>
              <w:bottom w:val="single" w:sz="4" w:space="0" w:color="auto"/>
              <w:right w:val="nil"/>
            </w:tcBorders>
            <w:tcMar>
              <w:top w:w="0" w:type="dxa"/>
              <w:left w:w="108" w:type="dxa"/>
              <w:bottom w:w="0" w:type="dxa"/>
              <w:right w:w="108" w:type="dxa"/>
            </w:tcMar>
          </w:tcPr>
          <w:p w14:paraId="1DA9570F" w14:textId="77777777" w:rsidR="003F56FE" w:rsidRDefault="003F56FE" w:rsidP="003F56FE">
            <w:pPr>
              <w:spacing w:before="60" w:after="60"/>
              <w:ind w:right="36"/>
              <w:rPr>
                <w:rFonts w:cs="Arial"/>
                <w:sz w:val="18"/>
                <w:szCs w:val="18"/>
                <w:lang w:eastAsia="en-GB"/>
              </w:rPr>
            </w:pPr>
          </w:p>
        </w:tc>
        <w:tc>
          <w:tcPr>
            <w:tcW w:w="4111" w:type="dxa"/>
            <w:gridSpan w:val="4"/>
            <w:tcBorders>
              <w:top w:val="nil"/>
              <w:left w:val="nil"/>
              <w:bottom w:val="single" w:sz="4" w:space="0" w:color="auto"/>
              <w:right w:val="nil"/>
            </w:tcBorders>
            <w:hideMark/>
          </w:tcPr>
          <w:p w14:paraId="047D974C" w14:textId="5ED0D8F7" w:rsidR="003F56FE" w:rsidRDefault="003F56FE" w:rsidP="003F56FE">
            <w:pPr>
              <w:pStyle w:val="ListParagraph"/>
              <w:widowControl/>
              <w:numPr>
                <w:ilvl w:val="0"/>
                <w:numId w:val="44"/>
              </w:numPr>
              <w:spacing w:before="60" w:after="60"/>
              <w:ind w:left="342" w:right="36" w:hanging="283"/>
              <w:rPr>
                <w:rFonts w:cs="Arial"/>
                <w:sz w:val="18"/>
                <w:szCs w:val="18"/>
                <w:lang w:eastAsia="en-GB"/>
              </w:rPr>
            </w:pPr>
            <w:r>
              <w:rPr>
                <w:rFonts w:cs="Arial"/>
                <w:sz w:val="18"/>
                <w:szCs w:val="18"/>
                <w:lang w:eastAsia="en-AU"/>
              </w:rPr>
              <w:t xml:space="preserve">May only be added to the following foods in combination with </w:t>
            </w:r>
            <w:r>
              <w:rPr>
                <w:rFonts w:cs="Arial"/>
                <w:bCs/>
                <w:sz w:val="18"/>
                <w:szCs w:val="18"/>
                <w:lang w:eastAsia="en-GB"/>
              </w:rPr>
              <w:t>2′-O-fucosyllactose that is permitted for use in</w:t>
            </w:r>
            <w:r>
              <w:rPr>
                <w:rFonts w:cs="Arial"/>
                <w:sz w:val="18"/>
                <w:szCs w:val="18"/>
                <w:lang w:eastAsia="en-AU"/>
              </w:rPr>
              <w:t xml:space="preserve"> infant formula products; and </w:t>
            </w:r>
            <w:r>
              <w:rPr>
                <w:sz w:val="18"/>
                <w:szCs w:val="18"/>
              </w:rPr>
              <w:t>formulated supplementary food for young children.</w:t>
            </w:r>
          </w:p>
          <w:p w14:paraId="6121DE9A" w14:textId="77777777" w:rsidR="003F56FE" w:rsidRDefault="003F56FE" w:rsidP="003F56FE">
            <w:pPr>
              <w:pStyle w:val="ListParagraph"/>
              <w:widowControl/>
              <w:numPr>
                <w:ilvl w:val="0"/>
                <w:numId w:val="44"/>
              </w:numPr>
              <w:spacing w:before="60" w:after="60"/>
              <w:ind w:left="342" w:right="36" w:hanging="283"/>
              <w:rPr>
                <w:rFonts w:cs="Arial"/>
                <w:sz w:val="18"/>
                <w:szCs w:val="18"/>
                <w:lang w:eastAsia="en-GB"/>
              </w:rPr>
            </w:pPr>
            <w:r>
              <w:rPr>
                <w:rFonts w:cs="Arial"/>
                <w:sz w:val="18"/>
                <w:szCs w:val="18"/>
                <w:lang w:eastAsia="en-GB"/>
              </w:rPr>
              <w:t xml:space="preserve">During the </w:t>
            </w:r>
            <w:r>
              <w:rPr>
                <w:sz w:val="18"/>
                <w:szCs w:val="18"/>
              </w:rPr>
              <w:t xml:space="preserve">exclusive use period, may only be sold under </w:t>
            </w:r>
            <w:r>
              <w:rPr>
                <w:rFonts w:cs="Arial"/>
                <w:sz w:val="18"/>
                <w:szCs w:val="18"/>
                <w:lang w:eastAsia="en-AU"/>
              </w:rPr>
              <w:t>the brand GlyCare.</w:t>
            </w:r>
          </w:p>
          <w:p w14:paraId="6B65A949" w14:textId="77777777" w:rsidR="003F56FE" w:rsidRDefault="003F56FE" w:rsidP="003F56FE">
            <w:pPr>
              <w:pStyle w:val="ListParagraph"/>
              <w:widowControl/>
              <w:numPr>
                <w:ilvl w:val="0"/>
                <w:numId w:val="44"/>
              </w:numPr>
              <w:spacing w:before="60" w:after="60"/>
              <w:ind w:left="342" w:right="36" w:hanging="283"/>
              <w:rPr>
                <w:rFonts w:cs="Arial"/>
                <w:sz w:val="18"/>
                <w:szCs w:val="18"/>
                <w:lang w:eastAsia="en-GB"/>
              </w:rPr>
            </w:pPr>
            <w:r>
              <w:rPr>
                <w:sz w:val="18"/>
                <w:szCs w:val="18"/>
              </w:rPr>
              <w:t xml:space="preserve">For the purposes of condition 2 above, </w:t>
            </w:r>
            <w:r>
              <w:rPr>
                <w:b/>
                <w:sz w:val="18"/>
                <w:szCs w:val="18"/>
              </w:rPr>
              <w:t>exclusive use period</w:t>
            </w:r>
            <w:r>
              <w:rPr>
                <w:sz w:val="18"/>
                <w:szCs w:val="18"/>
              </w:rPr>
              <w:t xml:space="preserve"> means the period commencing on the date of gazettal of the </w:t>
            </w:r>
            <w:r>
              <w:rPr>
                <w:i/>
                <w:sz w:val="18"/>
                <w:szCs w:val="18"/>
              </w:rPr>
              <w:t>Food Standards (Application A1155 – 2</w:t>
            </w:r>
            <w:r>
              <w:rPr>
                <w:rFonts w:cs="Arial"/>
                <w:i/>
                <w:sz w:val="18"/>
                <w:szCs w:val="18"/>
              </w:rPr>
              <w:t>′</w:t>
            </w:r>
            <w:r>
              <w:rPr>
                <w:i/>
                <w:sz w:val="18"/>
                <w:szCs w:val="18"/>
              </w:rPr>
              <w:t>-FL and LNnT in infant formula and other products) Variation</w:t>
            </w:r>
            <w:r>
              <w:rPr>
                <w:sz w:val="18"/>
                <w:szCs w:val="18"/>
              </w:rPr>
              <w:t xml:space="preserve"> and ending 15 months after that date.</w:t>
            </w:r>
          </w:p>
        </w:tc>
      </w:tr>
    </w:tbl>
    <w:p w14:paraId="7798B162" w14:textId="77777777" w:rsidR="003F56FE" w:rsidRDefault="003F56FE" w:rsidP="003F56FE">
      <w:pPr>
        <w:pStyle w:val="FSCDraftingitem"/>
        <w:rPr>
          <w:szCs w:val="22"/>
        </w:rPr>
      </w:pPr>
    </w:p>
    <w:p w14:paraId="37D9F097" w14:textId="77777777" w:rsidR="003F56FE" w:rsidRDefault="003F56FE" w:rsidP="003F56FE">
      <w:pPr>
        <w:pStyle w:val="FSCDraftingitem"/>
        <w:rPr>
          <w:lang w:bidi="en-US"/>
        </w:rPr>
      </w:pPr>
      <w:r>
        <w:rPr>
          <w:b/>
          <w:lang w:bidi="en-US"/>
        </w:rPr>
        <w:t>[6]</w:t>
      </w:r>
      <w:r>
        <w:rPr>
          <w:b/>
          <w:lang w:bidi="en-US"/>
        </w:rPr>
        <w:tab/>
        <w:t>Schedule 29</w:t>
      </w:r>
      <w:r>
        <w:rPr>
          <w:lang w:bidi="en-US"/>
        </w:rPr>
        <w:t xml:space="preserve"> is varied by</w:t>
      </w:r>
    </w:p>
    <w:p w14:paraId="3EEFB197" w14:textId="77777777" w:rsidR="003F56FE" w:rsidRDefault="003F56FE" w:rsidP="003F56FE">
      <w:pPr>
        <w:pStyle w:val="FSCDraftingitem"/>
        <w:rPr>
          <w:lang w:bidi="en-US"/>
        </w:rPr>
      </w:pPr>
      <w:r>
        <w:rPr>
          <w:lang w:bidi="en-US"/>
        </w:rPr>
        <w:t>[6.1]</w:t>
      </w:r>
      <w:r>
        <w:rPr>
          <w:lang w:bidi="en-US"/>
        </w:rPr>
        <w:tab/>
        <w:t xml:space="preserve">omitting section </w:t>
      </w:r>
      <w:r>
        <w:t>S29—5, substituting</w:t>
      </w:r>
    </w:p>
    <w:p w14:paraId="0C7CB471" w14:textId="77777777" w:rsidR="003F56FE" w:rsidRDefault="003F56FE" w:rsidP="003F56FE">
      <w:pPr>
        <w:pStyle w:val="FSCh5Section"/>
      </w:pPr>
      <w:r>
        <w:t>S29—5</w:t>
      </w:r>
      <w:r>
        <w:tab/>
        <w:t>Infant formula products—substances permitted as nutritive substances</w:t>
      </w:r>
    </w:p>
    <w:p w14:paraId="27230A93" w14:textId="77777777" w:rsidR="003F56FE" w:rsidRDefault="003F56FE" w:rsidP="003F56FE">
      <w:pPr>
        <w:pStyle w:val="FSCtMain"/>
        <w:tabs>
          <w:tab w:val="left" w:pos="720"/>
        </w:tabs>
        <w:rPr>
          <w:szCs w:val="20"/>
        </w:rPr>
      </w:pPr>
      <w:r>
        <w:t xml:space="preserve"> </w:t>
      </w:r>
      <w:r>
        <w:tab/>
        <w:t>For section 2.9.1—5, the</w:t>
      </w:r>
      <w:r>
        <w:rPr>
          <w:szCs w:val="20"/>
        </w:rPr>
        <w:t xml:space="preserve"> table is set out below.</w:t>
      </w:r>
    </w:p>
    <w:p w14:paraId="065973BC" w14:textId="77777777" w:rsidR="003F56FE" w:rsidRDefault="003F56FE" w:rsidP="003F56FE">
      <w:pPr>
        <w:pStyle w:val="FSCtblh2"/>
      </w:pPr>
      <w:r>
        <w:t>Infant formula products—substances permitted for use as nutritive substances</w:t>
      </w:r>
    </w:p>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ant formula products - substances permitted for use as nutritive substances"/>
        <w:tblDescription w:val="The table restates the substances currently permitted for use as nutritive substances in infant formula products in S29-5 of Schedule 29, and adds two new rows for 2′-FL permitted for use by Standard 1.5.2, and a combination of 2′-FL permitted for use by Standard 1.5.2 and LNnT permitted for use by Standard 1.5.2.  The maximum amount permitted per 100 kJ is listed in Column 4 of the table."/>
      </w:tblPr>
      <w:tblGrid>
        <w:gridCol w:w="2834"/>
        <w:gridCol w:w="3554"/>
        <w:gridCol w:w="1278"/>
        <w:gridCol w:w="1399"/>
        <w:gridCol w:w="291"/>
      </w:tblGrid>
      <w:tr w:rsidR="003F56FE" w14:paraId="620FE3C5" w14:textId="77777777" w:rsidTr="003F56FE">
        <w:trPr>
          <w:gridAfter w:val="1"/>
          <w:wAfter w:w="291" w:type="dxa"/>
          <w:cantSplit/>
          <w:tblHeader/>
          <w:jc w:val="center"/>
        </w:trPr>
        <w:tc>
          <w:tcPr>
            <w:tcW w:w="2834" w:type="dxa"/>
            <w:tcBorders>
              <w:top w:val="single" w:sz="4" w:space="0" w:color="auto"/>
              <w:left w:val="nil"/>
              <w:bottom w:val="single" w:sz="4" w:space="0" w:color="auto"/>
              <w:right w:val="nil"/>
            </w:tcBorders>
            <w:hideMark/>
          </w:tcPr>
          <w:p w14:paraId="30B9ADF8" w14:textId="77777777" w:rsidR="003F56FE" w:rsidRDefault="003F56FE" w:rsidP="003F56FE">
            <w:pPr>
              <w:pStyle w:val="FSCtblh3"/>
            </w:pPr>
            <w:r>
              <w:t>Column 1</w:t>
            </w:r>
          </w:p>
        </w:tc>
        <w:tc>
          <w:tcPr>
            <w:tcW w:w="3554" w:type="dxa"/>
            <w:tcBorders>
              <w:top w:val="single" w:sz="4" w:space="0" w:color="auto"/>
              <w:left w:val="nil"/>
              <w:bottom w:val="single" w:sz="4" w:space="0" w:color="auto"/>
              <w:right w:val="nil"/>
            </w:tcBorders>
            <w:hideMark/>
          </w:tcPr>
          <w:p w14:paraId="5E53BF2F" w14:textId="77777777" w:rsidR="003F56FE" w:rsidRDefault="003F56FE" w:rsidP="003F56FE">
            <w:pPr>
              <w:pStyle w:val="FSCtblh3"/>
            </w:pPr>
            <w:r>
              <w:t>Column 2</w:t>
            </w:r>
          </w:p>
        </w:tc>
        <w:tc>
          <w:tcPr>
            <w:tcW w:w="1278" w:type="dxa"/>
            <w:tcBorders>
              <w:top w:val="single" w:sz="4" w:space="0" w:color="auto"/>
              <w:left w:val="nil"/>
              <w:bottom w:val="single" w:sz="4" w:space="0" w:color="auto"/>
              <w:right w:val="nil"/>
            </w:tcBorders>
            <w:hideMark/>
          </w:tcPr>
          <w:p w14:paraId="4DDA61D7" w14:textId="77777777" w:rsidR="003F56FE" w:rsidRDefault="003F56FE" w:rsidP="003F56FE">
            <w:pPr>
              <w:pStyle w:val="FSCtblh3"/>
            </w:pPr>
            <w:r>
              <w:t>Column 3</w:t>
            </w:r>
          </w:p>
        </w:tc>
        <w:tc>
          <w:tcPr>
            <w:tcW w:w="1399" w:type="dxa"/>
            <w:tcBorders>
              <w:top w:val="single" w:sz="4" w:space="0" w:color="auto"/>
              <w:left w:val="nil"/>
              <w:bottom w:val="single" w:sz="4" w:space="0" w:color="auto"/>
              <w:right w:val="nil"/>
            </w:tcBorders>
            <w:hideMark/>
          </w:tcPr>
          <w:p w14:paraId="4DE840EF" w14:textId="77777777" w:rsidR="003F56FE" w:rsidRDefault="003F56FE" w:rsidP="003F56FE">
            <w:pPr>
              <w:pStyle w:val="FSCtblh3"/>
            </w:pPr>
            <w:r>
              <w:t>Column 4</w:t>
            </w:r>
          </w:p>
        </w:tc>
      </w:tr>
      <w:tr w:rsidR="003F56FE" w14:paraId="7B3900FE" w14:textId="77777777" w:rsidTr="003F56FE">
        <w:trPr>
          <w:gridAfter w:val="1"/>
          <w:wAfter w:w="284" w:type="dxa"/>
          <w:cantSplit/>
          <w:tblHeader/>
          <w:jc w:val="center"/>
        </w:trPr>
        <w:tc>
          <w:tcPr>
            <w:tcW w:w="2836" w:type="dxa"/>
            <w:tcBorders>
              <w:top w:val="single" w:sz="4" w:space="0" w:color="auto"/>
              <w:left w:val="nil"/>
              <w:bottom w:val="single" w:sz="4" w:space="0" w:color="auto"/>
              <w:right w:val="nil"/>
            </w:tcBorders>
            <w:hideMark/>
          </w:tcPr>
          <w:p w14:paraId="16A1D955" w14:textId="77777777" w:rsidR="003F56FE" w:rsidRDefault="003F56FE" w:rsidP="003F56FE">
            <w:pPr>
              <w:pStyle w:val="FSCtblh4"/>
            </w:pPr>
            <w:r>
              <w:t>Substance</w:t>
            </w:r>
          </w:p>
        </w:tc>
        <w:tc>
          <w:tcPr>
            <w:tcW w:w="3558" w:type="dxa"/>
            <w:tcBorders>
              <w:top w:val="single" w:sz="4" w:space="0" w:color="auto"/>
              <w:left w:val="nil"/>
              <w:bottom w:val="single" w:sz="4" w:space="0" w:color="auto"/>
              <w:right w:val="nil"/>
            </w:tcBorders>
            <w:hideMark/>
          </w:tcPr>
          <w:p w14:paraId="5A1B4068" w14:textId="77777777" w:rsidR="003F56FE" w:rsidRDefault="003F56FE" w:rsidP="003F56FE">
            <w:pPr>
              <w:pStyle w:val="FSCtblh4"/>
            </w:pPr>
            <w:r>
              <w:t>Permitted forms</w:t>
            </w:r>
          </w:p>
        </w:tc>
        <w:tc>
          <w:tcPr>
            <w:tcW w:w="1279" w:type="dxa"/>
            <w:tcBorders>
              <w:top w:val="single" w:sz="4" w:space="0" w:color="auto"/>
              <w:left w:val="nil"/>
              <w:bottom w:val="single" w:sz="4" w:space="0" w:color="auto"/>
              <w:right w:val="nil"/>
            </w:tcBorders>
            <w:hideMark/>
          </w:tcPr>
          <w:p w14:paraId="6282CE44" w14:textId="77777777" w:rsidR="003F56FE" w:rsidRDefault="003F56FE" w:rsidP="003F56FE">
            <w:pPr>
              <w:pStyle w:val="FSCtblh4"/>
            </w:pPr>
            <w:r>
              <w:t>Minimum amount per 100 kJ</w:t>
            </w:r>
          </w:p>
        </w:tc>
        <w:tc>
          <w:tcPr>
            <w:tcW w:w="1399" w:type="dxa"/>
            <w:tcBorders>
              <w:top w:val="single" w:sz="4" w:space="0" w:color="auto"/>
              <w:left w:val="nil"/>
              <w:bottom w:val="single" w:sz="4" w:space="0" w:color="auto"/>
              <w:right w:val="nil"/>
            </w:tcBorders>
            <w:hideMark/>
          </w:tcPr>
          <w:p w14:paraId="4F2FE38A" w14:textId="77777777" w:rsidR="003F56FE" w:rsidRDefault="003F56FE" w:rsidP="003F56FE">
            <w:pPr>
              <w:pStyle w:val="FSCtblh4"/>
            </w:pPr>
            <w:r>
              <w:t>Maximum amount per 100 kJ</w:t>
            </w:r>
          </w:p>
        </w:tc>
      </w:tr>
      <w:tr w:rsidR="003F56FE" w14:paraId="78B23C46" w14:textId="77777777" w:rsidTr="003F56FE">
        <w:trPr>
          <w:cantSplit/>
          <w:jc w:val="center"/>
        </w:trPr>
        <w:tc>
          <w:tcPr>
            <w:tcW w:w="2834" w:type="dxa"/>
            <w:hideMark/>
          </w:tcPr>
          <w:p w14:paraId="54E804A3" w14:textId="77777777" w:rsidR="003F56FE" w:rsidRDefault="003F56FE" w:rsidP="003F56FE">
            <w:pPr>
              <w:pStyle w:val="FSCtblMain"/>
            </w:pPr>
            <w:r>
              <w:t>2′-O-fucosyllactose permitted for use by Standard 1.5.2</w:t>
            </w:r>
          </w:p>
        </w:tc>
        <w:tc>
          <w:tcPr>
            <w:tcW w:w="3554" w:type="dxa"/>
            <w:hideMark/>
          </w:tcPr>
          <w:p w14:paraId="6406BE80" w14:textId="77777777" w:rsidR="003F56FE" w:rsidRDefault="003F56FE" w:rsidP="003F56FE">
            <w:pPr>
              <w:pStyle w:val="FSCtblMain"/>
            </w:pPr>
            <w:r>
              <w:t>2′-O-fucosyllactose</w:t>
            </w:r>
          </w:p>
        </w:tc>
        <w:tc>
          <w:tcPr>
            <w:tcW w:w="1277" w:type="dxa"/>
          </w:tcPr>
          <w:p w14:paraId="71C713CE" w14:textId="77777777" w:rsidR="003F56FE" w:rsidRDefault="003F56FE" w:rsidP="003F56FE">
            <w:pPr>
              <w:pStyle w:val="FSCtblMain"/>
            </w:pPr>
          </w:p>
        </w:tc>
        <w:tc>
          <w:tcPr>
            <w:tcW w:w="1691" w:type="dxa"/>
            <w:gridSpan w:val="2"/>
            <w:hideMark/>
          </w:tcPr>
          <w:p w14:paraId="7D4FC7D5" w14:textId="77777777" w:rsidR="003F56FE" w:rsidRDefault="003F56FE" w:rsidP="003F56FE">
            <w:pPr>
              <w:pStyle w:val="FSCtblMain"/>
            </w:pPr>
            <w:r>
              <w:t>96 mg</w:t>
            </w:r>
          </w:p>
        </w:tc>
      </w:tr>
      <w:tr w:rsidR="003F56FE" w14:paraId="70FCED68" w14:textId="77777777" w:rsidTr="003F56FE">
        <w:trPr>
          <w:cantSplit/>
          <w:jc w:val="center"/>
        </w:trPr>
        <w:tc>
          <w:tcPr>
            <w:tcW w:w="2834" w:type="dxa"/>
            <w:hideMark/>
          </w:tcPr>
          <w:p w14:paraId="68BF3A0B" w14:textId="77777777" w:rsidR="003F56FE" w:rsidRDefault="003F56FE" w:rsidP="003F56FE">
            <w:pPr>
              <w:pStyle w:val="FSCtblMain"/>
            </w:pPr>
            <w:r>
              <w:t xml:space="preserve">A combination of: 2′-O-fucosyllactose permitted for use by Standard 1.5.2; and lacto-N-neotetraose permitted for use by Standard 1.5.2 </w:t>
            </w:r>
          </w:p>
        </w:tc>
        <w:tc>
          <w:tcPr>
            <w:tcW w:w="3554" w:type="dxa"/>
            <w:hideMark/>
          </w:tcPr>
          <w:p w14:paraId="0B22B880" w14:textId="77777777" w:rsidR="003F56FE" w:rsidRDefault="003F56FE" w:rsidP="003F56FE">
            <w:pPr>
              <w:pStyle w:val="FSCtblMain"/>
            </w:pPr>
            <w:r>
              <w:t>2′-O-fucosyllactose and lacto-N-neotetraose</w:t>
            </w:r>
          </w:p>
        </w:tc>
        <w:tc>
          <w:tcPr>
            <w:tcW w:w="1277" w:type="dxa"/>
          </w:tcPr>
          <w:p w14:paraId="4E0CCDAE" w14:textId="77777777" w:rsidR="003F56FE" w:rsidRDefault="003F56FE" w:rsidP="003F56FE">
            <w:pPr>
              <w:pStyle w:val="FSCtblMain"/>
            </w:pPr>
          </w:p>
        </w:tc>
        <w:tc>
          <w:tcPr>
            <w:tcW w:w="1691" w:type="dxa"/>
            <w:gridSpan w:val="2"/>
            <w:hideMark/>
          </w:tcPr>
          <w:p w14:paraId="5C3B7B7A" w14:textId="77777777" w:rsidR="003F56FE" w:rsidRDefault="003F56FE" w:rsidP="003F56FE">
            <w:pPr>
              <w:pStyle w:val="FSCtblMain"/>
            </w:pPr>
            <w:r>
              <w:t>96 mg which contains not more than 24 mg of lacto-N-neotetraose</w:t>
            </w:r>
          </w:p>
        </w:tc>
      </w:tr>
      <w:tr w:rsidR="003F56FE" w14:paraId="55CC4BA2" w14:textId="77777777" w:rsidTr="003F56FE">
        <w:trPr>
          <w:gridAfter w:val="1"/>
          <w:wAfter w:w="286" w:type="dxa"/>
          <w:cantSplit/>
          <w:jc w:val="center"/>
        </w:trPr>
        <w:tc>
          <w:tcPr>
            <w:tcW w:w="2834" w:type="dxa"/>
            <w:hideMark/>
          </w:tcPr>
          <w:p w14:paraId="322C92D0" w14:textId="77777777" w:rsidR="003F56FE" w:rsidRDefault="003F56FE" w:rsidP="003F56FE">
            <w:pPr>
              <w:pStyle w:val="FSCtblMain"/>
            </w:pPr>
            <w:r>
              <w:t>Adenosine-5′-monophosphate</w:t>
            </w:r>
          </w:p>
        </w:tc>
        <w:tc>
          <w:tcPr>
            <w:tcW w:w="3558" w:type="dxa"/>
            <w:hideMark/>
          </w:tcPr>
          <w:p w14:paraId="7308FBEB" w14:textId="77777777" w:rsidR="003F56FE" w:rsidRDefault="003F56FE" w:rsidP="003F56FE">
            <w:pPr>
              <w:pStyle w:val="FSCtblMain"/>
            </w:pPr>
            <w:r>
              <w:t>Adenosine-5′- monophosphate</w:t>
            </w:r>
          </w:p>
        </w:tc>
        <w:tc>
          <w:tcPr>
            <w:tcW w:w="1279" w:type="dxa"/>
            <w:hideMark/>
          </w:tcPr>
          <w:p w14:paraId="3AB555B7" w14:textId="77777777" w:rsidR="003F56FE" w:rsidRDefault="003F56FE" w:rsidP="003F56FE">
            <w:pPr>
              <w:pStyle w:val="FSCtblMain"/>
            </w:pPr>
            <w:r>
              <w:t>0.14 mg</w:t>
            </w:r>
          </w:p>
        </w:tc>
        <w:tc>
          <w:tcPr>
            <w:tcW w:w="1399" w:type="dxa"/>
            <w:hideMark/>
          </w:tcPr>
          <w:p w14:paraId="59A62452" w14:textId="77777777" w:rsidR="003F56FE" w:rsidRDefault="003F56FE" w:rsidP="003F56FE">
            <w:pPr>
              <w:pStyle w:val="FSCtblMain"/>
            </w:pPr>
            <w:r>
              <w:t>0.38 mg</w:t>
            </w:r>
          </w:p>
        </w:tc>
      </w:tr>
      <w:tr w:rsidR="003F56FE" w14:paraId="775B7912" w14:textId="77777777" w:rsidTr="003F56FE">
        <w:trPr>
          <w:gridAfter w:val="1"/>
          <w:wAfter w:w="291" w:type="dxa"/>
          <w:cantSplit/>
          <w:jc w:val="center"/>
        </w:trPr>
        <w:tc>
          <w:tcPr>
            <w:tcW w:w="2834" w:type="dxa"/>
            <w:hideMark/>
          </w:tcPr>
          <w:p w14:paraId="197E6AA2" w14:textId="77777777" w:rsidR="003F56FE" w:rsidRDefault="003F56FE" w:rsidP="003F56FE">
            <w:pPr>
              <w:pStyle w:val="FSCtblMain"/>
            </w:pPr>
            <w:r>
              <w:t>L-carnitine</w:t>
            </w:r>
          </w:p>
        </w:tc>
        <w:tc>
          <w:tcPr>
            <w:tcW w:w="3554" w:type="dxa"/>
            <w:hideMark/>
          </w:tcPr>
          <w:p w14:paraId="21CD8818" w14:textId="77777777" w:rsidR="003F56FE" w:rsidRDefault="003F56FE" w:rsidP="003F56FE">
            <w:pPr>
              <w:pStyle w:val="FSCtblMain"/>
            </w:pPr>
            <w:r>
              <w:t>L-carnitine</w:t>
            </w:r>
          </w:p>
        </w:tc>
        <w:tc>
          <w:tcPr>
            <w:tcW w:w="1278" w:type="dxa"/>
            <w:hideMark/>
          </w:tcPr>
          <w:p w14:paraId="64EABFE2" w14:textId="77777777" w:rsidR="003F56FE" w:rsidRDefault="003F56FE" w:rsidP="003F56FE">
            <w:pPr>
              <w:pStyle w:val="FSCtblMain"/>
            </w:pPr>
            <w:r>
              <w:t xml:space="preserve">0.21 mg </w:t>
            </w:r>
          </w:p>
        </w:tc>
        <w:tc>
          <w:tcPr>
            <w:tcW w:w="1399" w:type="dxa"/>
            <w:hideMark/>
          </w:tcPr>
          <w:p w14:paraId="1CD01FAA" w14:textId="77777777" w:rsidR="003F56FE" w:rsidRDefault="003F56FE" w:rsidP="003F56FE">
            <w:pPr>
              <w:pStyle w:val="FSCtblMain"/>
            </w:pPr>
            <w:r>
              <w:t>0.8 mg</w:t>
            </w:r>
          </w:p>
        </w:tc>
      </w:tr>
      <w:tr w:rsidR="003F56FE" w14:paraId="6759C396" w14:textId="77777777" w:rsidTr="003F56FE">
        <w:trPr>
          <w:gridAfter w:val="1"/>
          <w:wAfter w:w="291" w:type="dxa"/>
          <w:cantSplit/>
          <w:jc w:val="center"/>
        </w:trPr>
        <w:tc>
          <w:tcPr>
            <w:tcW w:w="2834" w:type="dxa"/>
            <w:hideMark/>
          </w:tcPr>
          <w:p w14:paraId="0B40B036" w14:textId="77777777" w:rsidR="003F56FE" w:rsidRDefault="003F56FE" w:rsidP="003F56FE">
            <w:pPr>
              <w:pStyle w:val="FSCtblMain"/>
            </w:pPr>
            <w:r>
              <w:t>Choline</w:t>
            </w:r>
          </w:p>
        </w:tc>
        <w:tc>
          <w:tcPr>
            <w:tcW w:w="3554" w:type="dxa"/>
            <w:hideMark/>
          </w:tcPr>
          <w:p w14:paraId="4BB4C715" w14:textId="77777777" w:rsidR="003F56FE" w:rsidRDefault="003F56FE" w:rsidP="003F56FE">
            <w:pPr>
              <w:pStyle w:val="FSCtblMain"/>
            </w:pPr>
            <w:r>
              <w:t>Choline chloride</w:t>
            </w:r>
          </w:p>
        </w:tc>
        <w:tc>
          <w:tcPr>
            <w:tcW w:w="1278" w:type="dxa"/>
            <w:hideMark/>
          </w:tcPr>
          <w:p w14:paraId="714644B2" w14:textId="77777777" w:rsidR="003F56FE" w:rsidRDefault="003F56FE" w:rsidP="003F56FE">
            <w:pPr>
              <w:pStyle w:val="FSCtblMain"/>
            </w:pPr>
            <w:r>
              <w:t xml:space="preserve">1.7 mg </w:t>
            </w:r>
          </w:p>
        </w:tc>
        <w:tc>
          <w:tcPr>
            <w:tcW w:w="1399" w:type="dxa"/>
            <w:hideMark/>
          </w:tcPr>
          <w:p w14:paraId="2FC6593A" w14:textId="77777777" w:rsidR="003F56FE" w:rsidRDefault="003F56FE" w:rsidP="003F56FE">
            <w:pPr>
              <w:pStyle w:val="FSCtblMain"/>
            </w:pPr>
            <w:r>
              <w:t>7.1 mg</w:t>
            </w:r>
          </w:p>
        </w:tc>
      </w:tr>
      <w:tr w:rsidR="003F56FE" w14:paraId="6CA4FAF7" w14:textId="77777777" w:rsidTr="003F56FE">
        <w:trPr>
          <w:gridAfter w:val="1"/>
          <w:wAfter w:w="291" w:type="dxa"/>
          <w:cantSplit/>
          <w:jc w:val="center"/>
        </w:trPr>
        <w:tc>
          <w:tcPr>
            <w:tcW w:w="2834" w:type="dxa"/>
          </w:tcPr>
          <w:p w14:paraId="79B13033" w14:textId="77777777" w:rsidR="003F56FE" w:rsidRDefault="003F56FE" w:rsidP="003F56FE">
            <w:pPr>
              <w:pStyle w:val="FSCbasetbl"/>
            </w:pPr>
          </w:p>
        </w:tc>
        <w:tc>
          <w:tcPr>
            <w:tcW w:w="3554" w:type="dxa"/>
            <w:hideMark/>
          </w:tcPr>
          <w:p w14:paraId="1D930526" w14:textId="77777777" w:rsidR="003F56FE" w:rsidRDefault="003F56FE" w:rsidP="003F56FE">
            <w:pPr>
              <w:pStyle w:val="FSCtblMain"/>
            </w:pPr>
            <w:r>
              <w:t>Choline bitartrate</w:t>
            </w:r>
          </w:p>
        </w:tc>
        <w:tc>
          <w:tcPr>
            <w:tcW w:w="1278" w:type="dxa"/>
          </w:tcPr>
          <w:p w14:paraId="2C393695" w14:textId="77777777" w:rsidR="003F56FE" w:rsidRDefault="003F56FE" w:rsidP="003F56FE">
            <w:pPr>
              <w:pStyle w:val="FSCbasetbl"/>
            </w:pPr>
          </w:p>
        </w:tc>
        <w:tc>
          <w:tcPr>
            <w:tcW w:w="1399" w:type="dxa"/>
          </w:tcPr>
          <w:p w14:paraId="29EFB950" w14:textId="77777777" w:rsidR="003F56FE" w:rsidRDefault="003F56FE" w:rsidP="003F56FE">
            <w:pPr>
              <w:pStyle w:val="FSCtblMain"/>
            </w:pPr>
          </w:p>
        </w:tc>
      </w:tr>
      <w:tr w:rsidR="003F56FE" w14:paraId="7AA08D00" w14:textId="77777777" w:rsidTr="003F56FE">
        <w:trPr>
          <w:gridAfter w:val="1"/>
          <w:wAfter w:w="291" w:type="dxa"/>
          <w:cantSplit/>
          <w:jc w:val="center"/>
        </w:trPr>
        <w:tc>
          <w:tcPr>
            <w:tcW w:w="2834" w:type="dxa"/>
            <w:hideMark/>
          </w:tcPr>
          <w:p w14:paraId="103CCBD2" w14:textId="77777777" w:rsidR="003F56FE" w:rsidRDefault="003F56FE" w:rsidP="003F56FE">
            <w:pPr>
              <w:pStyle w:val="FSCtblMain"/>
            </w:pPr>
            <w:r>
              <w:t>Cytidine-5′-monophosphate</w:t>
            </w:r>
          </w:p>
        </w:tc>
        <w:tc>
          <w:tcPr>
            <w:tcW w:w="3554" w:type="dxa"/>
            <w:hideMark/>
          </w:tcPr>
          <w:p w14:paraId="0763F4F5" w14:textId="77777777" w:rsidR="003F56FE" w:rsidRDefault="003F56FE" w:rsidP="003F56FE">
            <w:pPr>
              <w:pStyle w:val="FSCtblMain"/>
            </w:pPr>
            <w:r>
              <w:t>Cytidine-5′-monophosphate</w:t>
            </w:r>
          </w:p>
        </w:tc>
        <w:tc>
          <w:tcPr>
            <w:tcW w:w="1278" w:type="dxa"/>
            <w:hideMark/>
          </w:tcPr>
          <w:p w14:paraId="20B9214A" w14:textId="77777777" w:rsidR="003F56FE" w:rsidRDefault="003F56FE" w:rsidP="003F56FE">
            <w:pPr>
              <w:pStyle w:val="FSCtblMain"/>
            </w:pPr>
            <w:r>
              <w:t xml:space="preserve">0.22 mg </w:t>
            </w:r>
          </w:p>
        </w:tc>
        <w:tc>
          <w:tcPr>
            <w:tcW w:w="1399" w:type="dxa"/>
            <w:hideMark/>
          </w:tcPr>
          <w:p w14:paraId="793ED5E4" w14:textId="77777777" w:rsidR="003F56FE" w:rsidRDefault="003F56FE" w:rsidP="003F56FE">
            <w:pPr>
              <w:pStyle w:val="FSCtblMain"/>
            </w:pPr>
            <w:r>
              <w:t>0.6 mg</w:t>
            </w:r>
          </w:p>
        </w:tc>
      </w:tr>
      <w:tr w:rsidR="003F56FE" w14:paraId="1F07984A" w14:textId="77777777" w:rsidTr="003F56FE">
        <w:trPr>
          <w:gridAfter w:val="1"/>
          <w:wAfter w:w="291" w:type="dxa"/>
          <w:cantSplit/>
          <w:jc w:val="center"/>
        </w:trPr>
        <w:tc>
          <w:tcPr>
            <w:tcW w:w="2834" w:type="dxa"/>
            <w:hideMark/>
          </w:tcPr>
          <w:p w14:paraId="7C4E3EE5" w14:textId="77777777" w:rsidR="003F56FE" w:rsidRDefault="003F56FE" w:rsidP="003F56FE">
            <w:pPr>
              <w:pStyle w:val="FSCtblMain"/>
            </w:pPr>
            <w:r>
              <w:t>Guanosine-5′-monophosphate</w:t>
            </w:r>
          </w:p>
        </w:tc>
        <w:tc>
          <w:tcPr>
            <w:tcW w:w="3554" w:type="dxa"/>
            <w:hideMark/>
          </w:tcPr>
          <w:p w14:paraId="60CFC7CF" w14:textId="77777777" w:rsidR="003F56FE" w:rsidRDefault="003F56FE" w:rsidP="003F56FE">
            <w:pPr>
              <w:pStyle w:val="FSCtblMain"/>
            </w:pPr>
            <w:r>
              <w:t>Guanosine-5′-monophosphate</w:t>
            </w:r>
          </w:p>
        </w:tc>
        <w:tc>
          <w:tcPr>
            <w:tcW w:w="1278" w:type="dxa"/>
            <w:hideMark/>
          </w:tcPr>
          <w:p w14:paraId="1E312A57" w14:textId="77777777" w:rsidR="003F56FE" w:rsidRDefault="003F56FE" w:rsidP="003F56FE">
            <w:pPr>
              <w:pStyle w:val="FSCtblMain"/>
            </w:pPr>
            <w:r>
              <w:t xml:space="preserve">0.04 mg </w:t>
            </w:r>
          </w:p>
        </w:tc>
        <w:tc>
          <w:tcPr>
            <w:tcW w:w="1399" w:type="dxa"/>
            <w:hideMark/>
          </w:tcPr>
          <w:p w14:paraId="5F3212C9" w14:textId="77777777" w:rsidR="003F56FE" w:rsidRDefault="003F56FE" w:rsidP="003F56FE">
            <w:pPr>
              <w:pStyle w:val="FSCtblMain"/>
            </w:pPr>
            <w:r>
              <w:t>0.12 mg</w:t>
            </w:r>
          </w:p>
        </w:tc>
      </w:tr>
      <w:tr w:rsidR="003F56FE" w14:paraId="4CE83622" w14:textId="77777777" w:rsidTr="003F56FE">
        <w:trPr>
          <w:gridAfter w:val="1"/>
          <w:wAfter w:w="291" w:type="dxa"/>
          <w:cantSplit/>
          <w:jc w:val="center"/>
        </w:trPr>
        <w:tc>
          <w:tcPr>
            <w:tcW w:w="2834" w:type="dxa"/>
            <w:hideMark/>
          </w:tcPr>
          <w:p w14:paraId="016A1E9C" w14:textId="77777777" w:rsidR="003F56FE" w:rsidRDefault="003F56FE" w:rsidP="003F56FE">
            <w:pPr>
              <w:pStyle w:val="FSCtblMain"/>
            </w:pPr>
            <w:r>
              <w:t xml:space="preserve"> </w:t>
            </w:r>
          </w:p>
        </w:tc>
        <w:tc>
          <w:tcPr>
            <w:tcW w:w="3554" w:type="dxa"/>
            <w:hideMark/>
          </w:tcPr>
          <w:p w14:paraId="5F250456" w14:textId="77777777" w:rsidR="003F56FE" w:rsidRDefault="003F56FE" w:rsidP="003F56FE">
            <w:pPr>
              <w:pStyle w:val="FSCtblMain"/>
            </w:pPr>
            <w:r>
              <w:t>Guanosine-5′-monophosphate sodium salt</w:t>
            </w:r>
          </w:p>
        </w:tc>
        <w:tc>
          <w:tcPr>
            <w:tcW w:w="1278" w:type="dxa"/>
          </w:tcPr>
          <w:p w14:paraId="2A2443E4" w14:textId="77777777" w:rsidR="003F56FE" w:rsidRDefault="003F56FE" w:rsidP="003F56FE">
            <w:pPr>
              <w:pStyle w:val="FSCbasetbl"/>
            </w:pPr>
          </w:p>
        </w:tc>
        <w:tc>
          <w:tcPr>
            <w:tcW w:w="1399" w:type="dxa"/>
          </w:tcPr>
          <w:p w14:paraId="4C4D4F4E" w14:textId="77777777" w:rsidR="003F56FE" w:rsidRDefault="003F56FE" w:rsidP="003F56FE">
            <w:pPr>
              <w:pStyle w:val="FSCtblMain"/>
            </w:pPr>
          </w:p>
        </w:tc>
      </w:tr>
      <w:tr w:rsidR="003F56FE" w14:paraId="09531277" w14:textId="77777777" w:rsidTr="003F56FE">
        <w:trPr>
          <w:gridAfter w:val="1"/>
          <w:wAfter w:w="291" w:type="dxa"/>
          <w:cantSplit/>
          <w:jc w:val="center"/>
        </w:trPr>
        <w:tc>
          <w:tcPr>
            <w:tcW w:w="2834" w:type="dxa"/>
            <w:hideMark/>
          </w:tcPr>
          <w:p w14:paraId="0371852E" w14:textId="77777777" w:rsidR="003F56FE" w:rsidRDefault="003F56FE" w:rsidP="003F56FE">
            <w:pPr>
              <w:pStyle w:val="FSCtblMain"/>
            </w:pPr>
            <w:r>
              <w:t>Inosine-5′-monophosphate</w:t>
            </w:r>
          </w:p>
        </w:tc>
        <w:tc>
          <w:tcPr>
            <w:tcW w:w="3554" w:type="dxa"/>
            <w:hideMark/>
          </w:tcPr>
          <w:p w14:paraId="350EEC7C" w14:textId="77777777" w:rsidR="003F56FE" w:rsidRDefault="003F56FE" w:rsidP="003F56FE">
            <w:pPr>
              <w:pStyle w:val="FSCtblMain"/>
            </w:pPr>
            <w:r>
              <w:t>Inosine-5′-monophosphate</w:t>
            </w:r>
          </w:p>
        </w:tc>
        <w:tc>
          <w:tcPr>
            <w:tcW w:w="1278" w:type="dxa"/>
            <w:hideMark/>
          </w:tcPr>
          <w:p w14:paraId="1893226C" w14:textId="77777777" w:rsidR="003F56FE" w:rsidRDefault="003F56FE" w:rsidP="003F56FE">
            <w:pPr>
              <w:pStyle w:val="FSCtblMain"/>
            </w:pPr>
            <w:r>
              <w:t xml:space="preserve">0.08 mg </w:t>
            </w:r>
          </w:p>
        </w:tc>
        <w:tc>
          <w:tcPr>
            <w:tcW w:w="1399" w:type="dxa"/>
            <w:hideMark/>
          </w:tcPr>
          <w:p w14:paraId="5F9C46C0" w14:textId="77777777" w:rsidR="003F56FE" w:rsidRDefault="003F56FE" w:rsidP="003F56FE">
            <w:pPr>
              <w:pStyle w:val="FSCtblMain"/>
            </w:pPr>
            <w:r>
              <w:t>0.24 mg</w:t>
            </w:r>
          </w:p>
        </w:tc>
      </w:tr>
      <w:tr w:rsidR="003F56FE" w14:paraId="72D36AB7" w14:textId="77777777" w:rsidTr="003F56FE">
        <w:trPr>
          <w:gridAfter w:val="1"/>
          <w:wAfter w:w="291" w:type="dxa"/>
          <w:cantSplit/>
          <w:jc w:val="center"/>
        </w:trPr>
        <w:tc>
          <w:tcPr>
            <w:tcW w:w="2834" w:type="dxa"/>
          </w:tcPr>
          <w:p w14:paraId="52F8031F" w14:textId="77777777" w:rsidR="003F56FE" w:rsidRDefault="003F56FE" w:rsidP="003F56FE">
            <w:pPr>
              <w:pStyle w:val="FSCbasetbl"/>
            </w:pPr>
          </w:p>
        </w:tc>
        <w:tc>
          <w:tcPr>
            <w:tcW w:w="3554" w:type="dxa"/>
            <w:hideMark/>
          </w:tcPr>
          <w:p w14:paraId="0F9C9654" w14:textId="77777777" w:rsidR="003F56FE" w:rsidRDefault="003F56FE" w:rsidP="003F56FE">
            <w:pPr>
              <w:pStyle w:val="FSCtblMain"/>
            </w:pPr>
            <w:r>
              <w:t>Inosine-5′-monophosphate sodium salt</w:t>
            </w:r>
          </w:p>
        </w:tc>
        <w:tc>
          <w:tcPr>
            <w:tcW w:w="1278" w:type="dxa"/>
          </w:tcPr>
          <w:p w14:paraId="053FD4BC" w14:textId="77777777" w:rsidR="003F56FE" w:rsidRDefault="003F56FE" w:rsidP="003F56FE">
            <w:pPr>
              <w:pStyle w:val="FSCbasetbl"/>
            </w:pPr>
          </w:p>
        </w:tc>
        <w:tc>
          <w:tcPr>
            <w:tcW w:w="1399" w:type="dxa"/>
            <w:hideMark/>
          </w:tcPr>
          <w:p w14:paraId="7CD0D6F5" w14:textId="77777777" w:rsidR="003F56FE" w:rsidRDefault="003F56FE" w:rsidP="003F56FE">
            <w:pPr>
              <w:pStyle w:val="FSCtblMain"/>
            </w:pPr>
            <w:r>
              <w:t xml:space="preserve"> </w:t>
            </w:r>
          </w:p>
        </w:tc>
      </w:tr>
      <w:tr w:rsidR="003F56FE" w14:paraId="0638F3D2" w14:textId="77777777" w:rsidTr="003F56FE">
        <w:trPr>
          <w:gridAfter w:val="1"/>
          <w:wAfter w:w="291" w:type="dxa"/>
          <w:cantSplit/>
          <w:jc w:val="center"/>
        </w:trPr>
        <w:tc>
          <w:tcPr>
            <w:tcW w:w="2834" w:type="dxa"/>
            <w:hideMark/>
          </w:tcPr>
          <w:p w14:paraId="33B1D61B" w14:textId="77777777" w:rsidR="003F56FE" w:rsidRDefault="003F56FE" w:rsidP="003F56FE">
            <w:pPr>
              <w:pStyle w:val="FSCtblMain"/>
            </w:pPr>
            <w:r>
              <w:t>Lutein</w:t>
            </w:r>
          </w:p>
        </w:tc>
        <w:tc>
          <w:tcPr>
            <w:tcW w:w="3554" w:type="dxa"/>
            <w:hideMark/>
          </w:tcPr>
          <w:p w14:paraId="486FABBD" w14:textId="77777777" w:rsidR="003F56FE" w:rsidRDefault="003F56FE" w:rsidP="003F56FE">
            <w:pPr>
              <w:pStyle w:val="FSCtblMain"/>
            </w:pPr>
            <w:r>
              <w:t xml:space="preserve">Lutein from </w:t>
            </w:r>
            <w:r>
              <w:rPr>
                <w:i/>
              </w:rPr>
              <w:t>Tagetes erecta L.</w:t>
            </w:r>
          </w:p>
        </w:tc>
        <w:tc>
          <w:tcPr>
            <w:tcW w:w="1278" w:type="dxa"/>
            <w:hideMark/>
          </w:tcPr>
          <w:p w14:paraId="7F1C5B01" w14:textId="77777777" w:rsidR="003F56FE" w:rsidRDefault="003F56FE" w:rsidP="003F56FE">
            <w:pPr>
              <w:pStyle w:val="FSCtblMain"/>
            </w:pPr>
            <w:r>
              <w:t>1.5 µg</w:t>
            </w:r>
          </w:p>
        </w:tc>
        <w:tc>
          <w:tcPr>
            <w:tcW w:w="1399" w:type="dxa"/>
            <w:hideMark/>
          </w:tcPr>
          <w:p w14:paraId="7DDC4466" w14:textId="77777777" w:rsidR="003F56FE" w:rsidRDefault="003F56FE" w:rsidP="003F56FE">
            <w:pPr>
              <w:pStyle w:val="FSCtblMain"/>
            </w:pPr>
            <w:r>
              <w:t>5 µg</w:t>
            </w:r>
          </w:p>
        </w:tc>
      </w:tr>
      <w:tr w:rsidR="003F56FE" w14:paraId="4342CC44" w14:textId="77777777" w:rsidTr="003F56FE">
        <w:trPr>
          <w:gridAfter w:val="1"/>
          <w:wAfter w:w="291" w:type="dxa"/>
          <w:cantSplit/>
          <w:jc w:val="center"/>
        </w:trPr>
        <w:tc>
          <w:tcPr>
            <w:tcW w:w="2834" w:type="dxa"/>
            <w:hideMark/>
          </w:tcPr>
          <w:p w14:paraId="51EE6F05" w14:textId="77777777" w:rsidR="003F56FE" w:rsidRDefault="003F56FE" w:rsidP="003F56FE">
            <w:pPr>
              <w:pStyle w:val="FSCtblMain"/>
            </w:pPr>
            <w:r>
              <w:t>Inositol</w:t>
            </w:r>
          </w:p>
        </w:tc>
        <w:tc>
          <w:tcPr>
            <w:tcW w:w="3554" w:type="dxa"/>
            <w:hideMark/>
          </w:tcPr>
          <w:p w14:paraId="4325E157" w14:textId="77777777" w:rsidR="003F56FE" w:rsidRDefault="003F56FE" w:rsidP="003F56FE">
            <w:pPr>
              <w:pStyle w:val="FSCtblMain"/>
            </w:pPr>
            <w:r>
              <w:t>Inositol</w:t>
            </w:r>
          </w:p>
        </w:tc>
        <w:tc>
          <w:tcPr>
            <w:tcW w:w="1278" w:type="dxa"/>
            <w:hideMark/>
          </w:tcPr>
          <w:p w14:paraId="1F42AE3C" w14:textId="77777777" w:rsidR="003F56FE" w:rsidRDefault="003F56FE" w:rsidP="003F56FE">
            <w:pPr>
              <w:pStyle w:val="FSCtblMain"/>
            </w:pPr>
            <w:r>
              <w:t>1.0 mg</w:t>
            </w:r>
          </w:p>
        </w:tc>
        <w:tc>
          <w:tcPr>
            <w:tcW w:w="1399" w:type="dxa"/>
            <w:hideMark/>
          </w:tcPr>
          <w:p w14:paraId="5C22EF4A" w14:textId="77777777" w:rsidR="003F56FE" w:rsidRDefault="003F56FE" w:rsidP="003F56FE">
            <w:pPr>
              <w:pStyle w:val="FSCtblMain"/>
            </w:pPr>
            <w:r>
              <w:t>9.5 mg</w:t>
            </w:r>
          </w:p>
        </w:tc>
      </w:tr>
      <w:tr w:rsidR="003F56FE" w14:paraId="5675387F" w14:textId="77777777" w:rsidTr="003F56FE">
        <w:trPr>
          <w:gridAfter w:val="1"/>
          <w:wAfter w:w="291" w:type="dxa"/>
          <w:cantSplit/>
          <w:jc w:val="center"/>
        </w:trPr>
        <w:tc>
          <w:tcPr>
            <w:tcW w:w="2834" w:type="dxa"/>
            <w:hideMark/>
          </w:tcPr>
          <w:p w14:paraId="74A31322" w14:textId="77777777" w:rsidR="003F56FE" w:rsidRDefault="003F56FE" w:rsidP="003F56FE">
            <w:pPr>
              <w:pStyle w:val="FSCtblMain"/>
            </w:pPr>
            <w:r>
              <w:t>Taurine</w:t>
            </w:r>
          </w:p>
        </w:tc>
        <w:tc>
          <w:tcPr>
            <w:tcW w:w="3554" w:type="dxa"/>
            <w:hideMark/>
          </w:tcPr>
          <w:p w14:paraId="2F21F5AA" w14:textId="77777777" w:rsidR="003F56FE" w:rsidRDefault="003F56FE" w:rsidP="003F56FE">
            <w:pPr>
              <w:pStyle w:val="FSCtblMain"/>
            </w:pPr>
            <w:r>
              <w:t>Taurine</w:t>
            </w:r>
          </w:p>
        </w:tc>
        <w:tc>
          <w:tcPr>
            <w:tcW w:w="1278" w:type="dxa"/>
            <w:hideMark/>
          </w:tcPr>
          <w:p w14:paraId="44DA4D67" w14:textId="77777777" w:rsidR="003F56FE" w:rsidRDefault="003F56FE" w:rsidP="003F56FE">
            <w:pPr>
              <w:pStyle w:val="FSCtblMain"/>
            </w:pPr>
            <w:r>
              <w:t xml:space="preserve">0.8 mg </w:t>
            </w:r>
          </w:p>
        </w:tc>
        <w:tc>
          <w:tcPr>
            <w:tcW w:w="1399" w:type="dxa"/>
            <w:hideMark/>
          </w:tcPr>
          <w:p w14:paraId="05D84FAC" w14:textId="77777777" w:rsidR="003F56FE" w:rsidRDefault="003F56FE" w:rsidP="003F56FE">
            <w:pPr>
              <w:pStyle w:val="FSCtblMain"/>
            </w:pPr>
            <w:r>
              <w:t>3 mg</w:t>
            </w:r>
          </w:p>
        </w:tc>
      </w:tr>
      <w:tr w:rsidR="003F56FE" w14:paraId="07937C58" w14:textId="77777777" w:rsidTr="003F56FE">
        <w:trPr>
          <w:gridAfter w:val="1"/>
          <w:wAfter w:w="291" w:type="dxa"/>
          <w:cantSplit/>
          <w:jc w:val="center"/>
        </w:trPr>
        <w:tc>
          <w:tcPr>
            <w:tcW w:w="2834" w:type="dxa"/>
            <w:tcBorders>
              <w:top w:val="nil"/>
              <w:left w:val="nil"/>
              <w:bottom w:val="single" w:sz="4" w:space="0" w:color="auto"/>
              <w:right w:val="nil"/>
            </w:tcBorders>
            <w:hideMark/>
          </w:tcPr>
          <w:p w14:paraId="6A05571F" w14:textId="77777777" w:rsidR="003F56FE" w:rsidRDefault="003F56FE" w:rsidP="003F56FE">
            <w:pPr>
              <w:pStyle w:val="FSCtblMain"/>
            </w:pPr>
            <w:r>
              <w:t>Uridine-5′-monophosphate</w:t>
            </w:r>
          </w:p>
        </w:tc>
        <w:tc>
          <w:tcPr>
            <w:tcW w:w="3554" w:type="dxa"/>
            <w:tcBorders>
              <w:top w:val="nil"/>
              <w:left w:val="nil"/>
              <w:bottom w:val="single" w:sz="4" w:space="0" w:color="auto"/>
              <w:right w:val="nil"/>
            </w:tcBorders>
            <w:hideMark/>
          </w:tcPr>
          <w:p w14:paraId="69EC2B2F" w14:textId="77777777" w:rsidR="003F56FE" w:rsidRDefault="003F56FE" w:rsidP="003F56FE">
            <w:pPr>
              <w:pStyle w:val="FSCtblMain"/>
            </w:pPr>
            <w:r>
              <w:t>Uridine-5′-monophosphate sodium salt</w:t>
            </w:r>
          </w:p>
        </w:tc>
        <w:tc>
          <w:tcPr>
            <w:tcW w:w="1278" w:type="dxa"/>
            <w:tcBorders>
              <w:top w:val="nil"/>
              <w:left w:val="nil"/>
              <w:bottom w:val="single" w:sz="4" w:space="0" w:color="auto"/>
              <w:right w:val="nil"/>
            </w:tcBorders>
            <w:hideMark/>
          </w:tcPr>
          <w:p w14:paraId="24418BA2" w14:textId="77777777" w:rsidR="003F56FE" w:rsidRDefault="003F56FE" w:rsidP="003F56FE">
            <w:pPr>
              <w:pStyle w:val="FSCtblMain"/>
            </w:pPr>
            <w:r>
              <w:t>0.13 mg</w:t>
            </w:r>
          </w:p>
        </w:tc>
        <w:tc>
          <w:tcPr>
            <w:tcW w:w="1399" w:type="dxa"/>
            <w:tcBorders>
              <w:top w:val="nil"/>
              <w:left w:val="nil"/>
              <w:bottom w:val="single" w:sz="4" w:space="0" w:color="auto"/>
              <w:right w:val="nil"/>
            </w:tcBorders>
            <w:hideMark/>
          </w:tcPr>
          <w:p w14:paraId="01968C5D" w14:textId="77777777" w:rsidR="003F56FE" w:rsidRDefault="003F56FE" w:rsidP="003F56FE">
            <w:pPr>
              <w:pStyle w:val="FSCtblMain"/>
            </w:pPr>
            <w:r>
              <w:t>0.42 mg</w:t>
            </w:r>
          </w:p>
        </w:tc>
      </w:tr>
    </w:tbl>
    <w:p w14:paraId="4015E40F" w14:textId="77777777" w:rsidR="003F56FE" w:rsidRDefault="003F56FE" w:rsidP="003F56FE">
      <w:pPr>
        <w:pStyle w:val="FSCDraftingitem"/>
        <w:rPr>
          <w:lang w:bidi="en-US"/>
        </w:rPr>
      </w:pPr>
    </w:p>
    <w:p w14:paraId="22DAD93F" w14:textId="77777777" w:rsidR="003F56FE" w:rsidRDefault="003F56FE" w:rsidP="003F56FE">
      <w:pPr>
        <w:pStyle w:val="FSCDraftingitem"/>
      </w:pPr>
      <w:r>
        <w:rPr>
          <w:lang w:bidi="en-US"/>
        </w:rPr>
        <w:t xml:space="preserve"> [6.2]</w:t>
      </w:r>
      <w:r>
        <w:rPr>
          <w:lang w:bidi="en-US"/>
        </w:rPr>
        <w:tab/>
        <w:t xml:space="preserve">inserting after section </w:t>
      </w:r>
      <w:r>
        <w:t>S29—15</w:t>
      </w:r>
    </w:p>
    <w:p w14:paraId="40CD141D" w14:textId="77777777" w:rsidR="003F56FE" w:rsidRDefault="003F56FE" w:rsidP="003F56FE">
      <w:pPr>
        <w:pStyle w:val="FSCh5Section"/>
      </w:pPr>
      <w:r>
        <w:t>S29—15A</w:t>
      </w:r>
      <w:r>
        <w:tab/>
        <w:t>F</w:t>
      </w:r>
      <w:r>
        <w:rPr>
          <w:bCs w:val="0"/>
          <w:szCs w:val="22"/>
        </w:rPr>
        <w:t>ormulated supplementary food for young children</w:t>
      </w:r>
      <w:r>
        <w:t>—other substances permitted as nutritive substances</w:t>
      </w:r>
    </w:p>
    <w:p w14:paraId="1689684A" w14:textId="77777777" w:rsidR="003F56FE" w:rsidRDefault="003F56FE" w:rsidP="003F56FE">
      <w:pPr>
        <w:pStyle w:val="Default"/>
        <w:tabs>
          <w:tab w:val="left" w:pos="1134"/>
        </w:tabs>
        <w:ind w:left="1701" w:hanging="1701"/>
        <w:rPr>
          <w:sz w:val="20"/>
          <w:szCs w:val="20"/>
        </w:rPr>
      </w:pPr>
      <w:r>
        <w:rPr>
          <w:sz w:val="20"/>
          <w:szCs w:val="20"/>
        </w:rPr>
        <w:tab/>
      </w:r>
      <w:r>
        <w:rPr>
          <w:sz w:val="20"/>
          <w:szCs w:val="20"/>
        </w:rPr>
        <w:tab/>
      </w:r>
      <w:r>
        <w:rPr>
          <w:rFonts w:ascii="Arial" w:hAnsi="Arial" w:cs="Arial"/>
          <w:iCs/>
          <w:color w:val="auto"/>
          <w:sz w:val="20"/>
          <w:szCs w:val="20"/>
          <w:lang w:val="en-GB" w:eastAsia="en-AU"/>
        </w:rPr>
        <w:t>For subsection 2.9.3—7(2A), the table is set out below.</w:t>
      </w:r>
      <w:r>
        <w:rPr>
          <w:sz w:val="20"/>
          <w:szCs w:val="20"/>
        </w:rPr>
        <w:t xml:space="preserve"> </w:t>
      </w:r>
    </w:p>
    <w:p w14:paraId="3072AADD" w14:textId="77777777" w:rsidR="003F56FE" w:rsidRDefault="003F56FE" w:rsidP="003F56FE">
      <w:pPr>
        <w:pStyle w:val="FSCtblh2"/>
        <w:ind w:left="142"/>
        <w:jc w:val="left"/>
      </w:pPr>
      <w:r>
        <w:t>Formulated supplementary food for young children—other substances permitted for use as nutritive substances</w:t>
      </w:r>
    </w:p>
    <w:tbl>
      <w:tblPr>
        <w:tblStyle w:val="TableGrid"/>
        <w:tblW w:w="90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rmulated supplementary food for young children - other substances permitted for use as nutritive substances"/>
        <w:tblDescription w:val="The table lists substances permitted for use as nutritive substances in FSFYC in S29-15(A) of Schedule 29. The table lists 2′-FL permitted for use by Standard 1.5.2, and a combination of 2′-FL permitted for use by Standard 1.5.2 and LNnT permitted for use by Standard 1.5.2. The table also lists Lutein. The maximum amount permitted per serving for each of the substances is listed in Column 3."/>
      </w:tblPr>
      <w:tblGrid>
        <w:gridCol w:w="2661"/>
        <w:gridCol w:w="3135"/>
        <w:gridCol w:w="3254"/>
      </w:tblGrid>
      <w:tr w:rsidR="003F56FE" w14:paraId="57B3E978" w14:textId="77777777" w:rsidTr="003F56FE">
        <w:trPr>
          <w:cantSplit/>
          <w:tblHeader/>
          <w:jc w:val="center"/>
        </w:trPr>
        <w:tc>
          <w:tcPr>
            <w:tcW w:w="2661" w:type="dxa"/>
            <w:tcBorders>
              <w:top w:val="single" w:sz="4" w:space="0" w:color="auto"/>
              <w:left w:val="nil"/>
              <w:bottom w:val="single" w:sz="4" w:space="0" w:color="auto"/>
              <w:right w:val="nil"/>
            </w:tcBorders>
            <w:hideMark/>
          </w:tcPr>
          <w:p w14:paraId="3A119ACE" w14:textId="77777777" w:rsidR="003F56FE" w:rsidRDefault="003F56FE" w:rsidP="003F56FE">
            <w:pPr>
              <w:pStyle w:val="FSCtblh3"/>
            </w:pPr>
            <w:r>
              <w:t>Column 1</w:t>
            </w:r>
          </w:p>
        </w:tc>
        <w:tc>
          <w:tcPr>
            <w:tcW w:w="3135" w:type="dxa"/>
            <w:tcBorders>
              <w:top w:val="single" w:sz="4" w:space="0" w:color="auto"/>
              <w:left w:val="nil"/>
              <w:bottom w:val="single" w:sz="4" w:space="0" w:color="auto"/>
              <w:right w:val="nil"/>
            </w:tcBorders>
            <w:hideMark/>
          </w:tcPr>
          <w:p w14:paraId="506CA55B" w14:textId="77777777" w:rsidR="003F56FE" w:rsidRDefault="003F56FE" w:rsidP="003F56FE">
            <w:pPr>
              <w:pStyle w:val="FSCtblh3"/>
            </w:pPr>
            <w:r>
              <w:t>Column 2</w:t>
            </w:r>
          </w:p>
        </w:tc>
        <w:tc>
          <w:tcPr>
            <w:tcW w:w="3254" w:type="dxa"/>
            <w:tcBorders>
              <w:top w:val="single" w:sz="4" w:space="0" w:color="auto"/>
              <w:left w:val="nil"/>
              <w:bottom w:val="single" w:sz="4" w:space="0" w:color="auto"/>
              <w:right w:val="nil"/>
            </w:tcBorders>
            <w:hideMark/>
          </w:tcPr>
          <w:p w14:paraId="731069B3" w14:textId="77777777" w:rsidR="003F56FE" w:rsidRDefault="003F56FE" w:rsidP="003F56FE">
            <w:pPr>
              <w:pStyle w:val="FSCtblh3"/>
            </w:pPr>
            <w:r>
              <w:t>Column 3</w:t>
            </w:r>
          </w:p>
        </w:tc>
      </w:tr>
      <w:tr w:rsidR="003F56FE" w14:paraId="3CD49894" w14:textId="77777777" w:rsidTr="003F56FE">
        <w:trPr>
          <w:cantSplit/>
          <w:tblHeader/>
          <w:jc w:val="center"/>
        </w:trPr>
        <w:tc>
          <w:tcPr>
            <w:tcW w:w="2661" w:type="dxa"/>
            <w:tcBorders>
              <w:top w:val="single" w:sz="4" w:space="0" w:color="auto"/>
              <w:left w:val="nil"/>
              <w:bottom w:val="single" w:sz="4" w:space="0" w:color="auto"/>
              <w:right w:val="nil"/>
            </w:tcBorders>
            <w:hideMark/>
          </w:tcPr>
          <w:p w14:paraId="2C107ABC" w14:textId="77777777" w:rsidR="003F56FE" w:rsidRDefault="003F56FE" w:rsidP="003F56FE">
            <w:pPr>
              <w:pStyle w:val="FSCtblh4"/>
            </w:pPr>
            <w:r>
              <w:t>Substance</w:t>
            </w:r>
          </w:p>
        </w:tc>
        <w:tc>
          <w:tcPr>
            <w:tcW w:w="3135" w:type="dxa"/>
            <w:tcBorders>
              <w:top w:val="single" w:sz="4" w:space="0" w:color="auto"/>
              <w:left w:val="nil"/>
              <w:bottom w:val="single" w:sz="4" w:space="0" w:color="auto"/>
              <w:right w:val="nil"/>
            </w:tcBorders>
            <w:hideMark/>
          </w:tcPr>
          <w:p w14:paraId="0F41457B" w14:textId="77777777" w:rsidR="003F56FE" w:rsidRDefault="003F56FE" w:rsidP="003F56FE">
            <w:pPr>
              <w:pStyle w:val="FSCtblh4"/>
            </w:pPr>
            <w:r>
              <w:t>Permitted form</w:t>
            </w:r>
          </w:p>
        </w:tc>
        <w:tc>
          <w:tcPr>
            <w:tcW w:w="3254" w:type="dxa"/>
            <w:tcBorders>
              <w:top w:val="single" w:sz="4" w:space="0" w:color="auto"/>
              <w:left w:val="nil"/>
              <w:bottom w:val="single" w:sz="4" w:space="0" w:color="auto"/>
              <w:right w:val="nil"/>
            </w:tcBorders>
            <w:hideMark/>
          </w:tcPr>
          <w:p w14:paraId="56134896" w14:textId="77777777" w:rsidR="003F56FE" w:rsidRDefault="003F56FE" w:rsidP="003F56FE">
            <w:pPr>
              <w:pStyle w:val="FSCtblh4"/>
            </w:pPr>
            <w:r>
              <w:t>Maximum amount per serving</w:t>
            </w:r>
          </w:p>
        </w:tc>
      </w:tr>
      <w:tr w:rsidR="003F56FE" w14:paraId="37D12D34" w14:textId="77777777" w:rsidTr="003F56FE">
        <w:trPr>
          <w:cantSplit/>
          <w:jc w:val="center"/>
        </w:trPr>
        <w:tc>
          <w:tcPr>
            <w:tcW w:w="2661" w:type="dxa"/>
            <w:tcBorders>
              <w:top w:val="single" w:sz="4" w:space="0" w:color="auto"/>
              <w:left w:val="nil"/>
              <w:bottom w:val="nil"/>
              <w:right w:val="nil"/>
            </w:tcBorders>
            <w:hideMark/>
          </w:tcPr>
          <w:p w14:paraId="42EE49CC" w14:textId="77777777" w:rsidR="003F56FE" w:rsidRDefault="003F56FE" w:rsidP="003F56FE">
            <w:pPr>
              <w:pStyle w:val="FSCtblMain"/>
            </w:pPr>
            <w:r>
              <w:t>2′-O-fucosyllactose permitted for use by Standard 1.5.2</w:t>
            </w:r>
          </w:p>
        </w:tc>
        <w:tc>
          <w:tcPr>
            <w:tcW w:w="3135" w:type="dxa"/>
            <w:tcBorders>
              <w:top w:val="single" w:sz="4" w:space="0" w:color="auto"/>
              <w:left w:val="nil"/>
              <w:bottom w:val="nil"/>
              <w:right w:val="nil"/>
            </w:tcBorders>
            <w:hideMark/>
          </w:tcPr>
          <w:p w14:paraId="4A91DD64" w14:textId="77777777" w:rsidR="003F56FE" w:rsidRDefault="003F56FE" w:rsidP="003F56FE">
            <w:pPr>
              <w:pStyle w:val="FSCtblMain"/>
            </w:pPr>
            <w:r>
              <w:t>2′-O-fucosyllactose</w:t>
            </w:r>
          </w:p>
        </w:tc>
        <w:tc>
          <w:tcPr>
            <w:tcW w:w="3254" w:type="dxa"/>
            <w:tcBorders>
              <w:top w:val="single" w:sz="4" w:space="0" w:color="auto"/>
              <w:left w:val="nil"/>
              <w:bottom w:val="nil"/>
              <w:right w:val="nil"/>
            </w:tcBorders>
            <w:hideMark/>
          </w:tcPr>
          <w:p w14:paraId="58E72DB4" w14:textId="77777777" w:rsidR="003F56FE" w:rsidRDefault="003F56FE" w:rsidP="003F56FE">
            <w:pPr>
              <w:pStyle w:val="FSCtblMain"/>
            </w:pPr>
            <w:r>
              <w:t>0.55 g</w:t>
            </w:r>
          </w:p>
        </w:tc>
      </w:tr>
      <w:tr w:rsidR="003F56FE" w14:paraId="5DF5D767" w14:textId="77777777" w:rsidTr="003F56FE">
        <w:trPr>
          <w:cantSplit/>
          <w:jc w:val="center"/>
        </w:trPr>
        <w:tc>
          <w:tcPr>
            <w:tcW w:w="2661" w:type="dxa"/>
            <w:hideMark/>
          </w:tcPr>
          <w:p w14:paraId="6EC0036C" w14:textId="77777777" w:rsidR="003F56FE" w:rsidRDefault="003F56FE" w:rsidP="003F56FE">
            <w:pPr>
              <w:pStyle w:val="FSCtblMain"/>
            </w:pPr>
            <w:r>
              <w:t>A combination of: 2′-O-fucosyllactose permitted for use by Standard 1.5.2; and lacto-N-neotetraose permitted for use by Standard 1.5.2</w:t>
            </w:r>
          </w:p>
        </w:tc>
        <w:tc>
          <w:tcPr>
            <w:tcW w:w="3135" w:type="dxa"/>
            <w:hideMark/>
          </w:tcPr>
          <w:p w14:paraId="575036C7" w14:textId="77777777" w:rsidR="003F56FE" w:rsidRDefault="003F56FE" w:rsidP="003F56FE">
            <w:pPr>
              <w:pStyle w:val="FSCtblMain"/>
            </w:pPr>
            <w:r>
              <w:t>2′-O-fucosyllactose and lacto-N-neotetraose</w:t>
            </w:r>
          </w:p>
        </w:tc>
        <w:tc>
          <w:tcPr>
            <w:tcW w:w="3254" w:type="dxa"/>
            <w:hideMark/>
          </w:tcPr>
          <w:p w14:paraId="3B52438A" w14:textId="77777777" w:rsidR="003F56FE" w:rsidRDefault="003F56FE" w:rsidP="003F56FE">
            <w:pPr>
              <w:pStyle w:val="FSCtblMain"/>
            </w:pPr>
            <w:r>
              <w:t xml:space="preserve">0.55 g which contains not more than 0.14 g of lacto-N-neotetraose </w:t>
            </w:r>
          </w:p>
        </w:tc>
      </w:tr>
      <w:tr w:rsidR="003F56FE" w14:paraId="58F08EB7" w14:textId="77777777" w:rsidTr="003F56FE">
        <w:trPr>
          <w:cantSplit/>
          <w:jc w:val="center"/>
        </w:trPr>
        <w:tc>
          <w:tcPr>
            <w:tcW w:w="2661" w:type="dxa"/>
            <w:hideMark/>
          </w:tcPr>
          <w:p w14:paraId="3B557531" w14:textId="77777777" w:rsidR="003F56FE" w:rsidRDefault="003F56FE" w:rsidP="003F56FE">
            <w:pPr>
              <w:pStyle w:val="FSCtblMain"/>
            </w:pPr>
            <w:r>
              <w:t>Lutein</w:t>
            </w:r>
          </w:p>
        </w:tc>
        <w:tc>
          <w:tcPr>
            <w:tcW w:w="3135" w:type="dxa"/>
            <w:hideMark/>
          </w:tcPr>
          <w:p w14:paraId="587DAC6B" w14:textId="77777777" w:rsidR="003F56FE" w:rsidRDefault="003F56FE" w:rsidP="003F56FE">
            <w:pPr>
              <w:pStyle w:val="FSCtblMain"/>
            </w:pPr>
            <w:r>
              <w:t xml:space="preserve">Lutein from </w:t>
            </w:r>
            <w:r>
              <w:rPr>
                <w:i/>
              </w:rPr>
              <w:t>Tagetes erecta L.</w:t>
            </w:r>
          </w:p>
        </w:tc>
        <w:tc>
          <w:tcPr>
            <w:tcW w:w="3254" w:type="dxa"/>
            <w:hideMark/>
          </w:tcPr>
          <w:p w14:paraId="684C79FB" w14:textId="77777777" w:rsidR="003F56FE" w:rsidRDefault="003F56FE" w:rsidP="003F56FE">
            <w:pPr>
              <w:pStyle w:val="FSCtblMain"/>
            </w:pPr>
            <w:r>
              <w:t>100 µg</w:t>
            </w:r>
          </w:p>
        </w:tc>
      </w:tr>
    </w:tbl>
    <w:p w14:paraId="1F9FD7FA" w14:textId="77777777" w:rsidR="003F56FE" w:rsidRDefault="003F56FE" w:rsidP="003F56FE">
      <w:pPr>
        <w:pStyle w:val="FSCtMain"/>
      </w:pPr>
    </w:p>
    <w:p w14:paraId="5774D2DB" w14:textId="60619DEF" w:rsidR="0012388D" w:rsidRDefault="0012388D" w:rsidP="003F56FE">
      <w:pPr>
        <w:rPr>
          <w:rFonts w:cs="Arial"/>
        </w:rPr>
      </w:pPr>
    </w:p>
    <w:sectPr w:rsidR="0012388D" w:rsidSect="006A6EE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608A2" w14:textId="77777777" w:rsidR="0073117A" w:rsidRDefault="0073117A">
      <w:r>
        <w:separator/>
      </w:r>
    </w:p>
    <w:p w14:paraId="1835FC8E" w14:textId="77777777" w:rsidR="0073117A" w:rsidRDefault="0073117A"/>
  </w:endnote>
  <w:endnote w:type="continuationSeparator" w:id="0">
    <w:p w14:paraId="652C0A8F" w14:textId="77777777" w:rsidR="0073117A" w:rsidRDefault="0073117A">
      <w:r>
        <w:continuationSeparator/>
      </w:r>
    </w:p>
    <w:p w14:paraId="659DEE35" w14:textId="77777777" w:rsidR="0073117A" w:rsidRDefault="0073117A"/>
  </w:endnote>
  <w:endnote w:type="continuationNotice" w:id="1">
    <w:p w14:paraId="7E5BA605" w14:textId="77777777" w:rsidR="0073117A" w:rsidRDefault="0073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MS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DDRU+Calibri">
    <w:altName w:val="Calibri"/>
    <w:panose1 w:val="00000000000000000000"/>
    <w:charset w:val="00"/>
    <w:family w:val="swiss"/>
    <w:notTrueType/>
    <w:pitch w:val="default"/>
    <w:sig w:usb0="00000003" w:usb1="00000000" w:usb2="00000000" w:usb3="00000000" w:csb0="00000001" w:csb1="00000000"/>
  </w:font>
  <w:font w:name="IUDFNC+Calibri-Italic">
    <w:altName w:val="Calibri"/>
    <w:panose1 w:val="00000000000000000000"/>
    <w:charset w:val="00"/>
    <w:family w:val="swiss"/>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 w:name="AdvOT777cf4fb">
    <w:panose1 w:val="00000000000000000000"/>
    <w:charset w:val="00"/>
    <w:family w:val="swiss"/>
    <w:notTrueType/>
    <w:pitch w:val="default"/>
    <w:sig w:usb0="00000003" w:usb1="00000000" w:usb2="00000000" w:usb3="00000000" w:csb0="00000001" w:csb1="00000000"/>
  </w:font>
  <w:font w:name="AdvOT0231c847">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003373C7" w:rsidR="0073117A" w:rsidRDefault="0073117A" w:rsidP="008F285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73117A" w:rsidRDefault="0073117A" w:rsidP="00052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05D44E99" w:rsidR="0073117A" w:rsidRDefault="0073117A"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4C6E6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C6E69">
          <w:rPr>
            <w:b/>
            <w:bCs/>
            <w:noProof/>
          </w:rPr>
          <w:t>3</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402171"/>
      <w:docPartObj>
        <w:docPartGallery w:val="Page Numbers (Bottom of Page)"/>
        <w:docPartUnique/>
      </w:docPartObj>
    </w:sdtPr>
    <w:sdtEndPr>
      <w:rPr>
        <w:noProof/>
      </w:rPr>
    </w:sdtEndPr>
    <w:sdtContent>
      <w:p w14:paraId="3AEF8A9C" w14:textId="3C80C72A" w:rsidR="0073117A" w:rsidRDefault="0073117A" w:rsidP="00A671E6">
        <w:pPr>
          <w:pStyle w:val="Footer"/>
          <w:jc w:val="center"/>
        </w:pPr>
        <w:r>
          <w:fldChar w:fldCharType="begin"/>
        </w:r>
        <w:r>
          <w:instrText xml:space="preserve"> PAGE   \* MERGEFORMAT </w:instrText>
        </w:r>
        <w:r>
          <w:fldChar w:fldCharType="separate"/>
        </w:r>
        <w:r w:rsidR="00D05038">
          <w:rPr>
            <w:noProof/>
          </w:rPr>
          <w:t>21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23111"/>
      <w:docPartObj>
        <w:docPartGallery w:val="Page Numbers (Bottom of Page)"/>
        <w:docPartUnique/>
      </w:docPartObj>
    </w:sdtPr>
    <w:sdtEndPr>
      <w:rPr>
        <w:noProof/>
      </w:rPr>
    </w:sdtEndPr>
    <w:sdtContent>
      <w:p w14:paraId="7346216D" w14:textId="7A54990F" w:rsidR="0073117A" w:rsidRDefault="0073117A" w:rsidP="00A671E6">
        <w:pPr>
          <w:pStyle w:val="Footer"/>
          <w:jc w:val="center"/>
        </w:pPr>
        <w:r>
          <w:fldChar w:fldCharType="begin"/>
        </w:r>
        <w:r>
          <w:instrText xml:space="preserve"> PAGE   \* MERGEFORMAT </w:instrText>
        </w:r>
        <w:r>
          <w:fldChar w:fldCharType="separate"/>
        </w:r>
        <w:r w:rsidR="00D05038">
          <w:rPr>
            <w:noProof/>
          </w:rPr>
          <w:t>79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C1185" w14:textId="77777777" w:rsidR="0073117A" w:rsidRDefault="0073117A">
      <w:r>
        <w:separator/>
      </w:r>
    </w:p>
  </w:footnote>
  <w:footnote w:type="continuationSeparator" w:id="0">
    <w:p w14:paraId="70EA6C90" w14:textId="77777777" w:rsidR="0073117A" w:rsidRDefault="0073117A">
      <w:r>
        <w:continuationSeparator/>
      </w:r>
    </w:p>
  </w:footnote>
  <w:footnote w:type="continuationNotice" w:id="1">
    <w:p w14:paraId="62657876" w14:textId="77777777" w:rsidR="0073117A" w:rsidRDefault="0073117A"/>
  </w:footnote>
  <w:footnote w:id="2">
    <w:p w14:paraId="6FB28329" w14:textId="68AD36D8" w:rsidR="0073117A" w:rsidRPr="00994B33" w:rsidRDefault="0073117A">
      <w:pPr>
        <w:pStyle w:val="FootnoteText"/>
        <w:rPr>
          <w:lang w:val="en-AU"/>
        </w:rPr>
      </w:pPr>
      <w:r>
        <w:rPr>
          <w:rStyle w:val="FootnoteReference"/>
        </w:rPr>
        <w:footnoteRef/>
      </w:r>
      <w:r>
        <w:t xml:space="preserve"> A1190: 2’Fl in infant formula products and FSFYC at 2g/L; PA1197: 2’FL in infant formula products, infant food, and FSFYC at 2.4 g/L (withdrawn)</w:t>
      </w:r>
    </w:p>
  </w:footnote>
  <w:footnote w:id="3">
    <w:p w14:paraId="7803E3F2" w14:textId="77777777" w:rsidR="0073117A" w:rsidRPr="00C41BD6" w:rsidRDefault="0073117A" w:rsidP="00020CB3">
      <w:pPr>
        <w:pStyle w:val="FootnoteText"/>
        <w:rPr>
          <w:lang w:val="en-AU"/>
        </w:rPr>
      </w:pPr>
      <w:r>
        <w:rPr>
          <w:rStyle w:val="FootnoteReference"/>
        </w:rPr>
        <w:footnoteRef/>
      </w:r>
      <w:r>
        <w:t xml:space="preserve"> </w:t>
      </w:r>
      <w:r>
        <w:rPr>
          <w:lang w:val="en-AU"/>
        </w:rPr>
        <w:t>‘Infant formula products’ used throughout this report captures infant formula, follow-on formula and infant formula products for special dietary use.</w:t>
      </w:r>
    </w:p>
  </w:footnote>
  <w:footnote w:id="4">
    <w:p w14:paraId="484CC382" w14:textId="77777777" w:rsidR="0073117A" w:rsidRPr="006432DD" w:rsidRDefault="0073117A" w:rsidP="00020CB3">
      <w:pPr>
        <w:pStyle w:val="FootnoteText"/>
        <w:rPr>
          <w:lang w:val="en-AU"/>
        </w:rPr>
      </w:pPr>
      <w:r>
        <w:rPr>
          <w:rStyle w:val="FootnoteReference"/>
        </w:rPr>
        <w:footnoteRef/>
      </w:r>
      <w:r>
        <w:t xml:space="preserve"> T</w:t>
      </w:r>
      <w:r>
        <w:rPr>
          <w:szCs w:val="22"/>
        </w:rPr>
        <w:t>oddler milk is the main type of FSFYC currently available.</w:t>
      </w:r>
    </w:p>
  </w:footnote>
  <w:footnote w:id="5">
    <w:p w14:paraId="43F53129" w14:textId="77777777" w:rsidR="0073117A" w:rsidRPr="00AC5C47" w:rsidRDefault="0073117A" w:rsidP="00020CB3">
      <w:pPr>
        <w:pStyle w:val="FootnoteText"/>
        <w:rPr>
          <w:lang w:val="en-AU"/>
        </w:rPr>
      </w:pPr>
      <w:r>
        <w:rPr>
          <w:rStyle w:val="FootnoteReference"/>
        </w:rPr>
        <w:footnoteRef/>
      </w:r>
      <w:r>
        <w:t xml:space="preserve"> </w:t>
      </w:r>
      <w:r>
        <w:rPr>
          <w:lang w:val="en-AU"/>
        </w:rPr>
        <w:t xml:space="preserve">Specified in Table D.1-1 of the application dossier. </w:t>
      </w:r>
    </w:p>
  </w:footnote>
  <w:footnote w:id="6">
    <w:p w14:paraId="4B9979D8" w14:textId="77777777" w:rsidR="0073117A" w:rsidRPr="00CC514F" w:rsidRDefault="0073117A" w:rsidP="00305848">
      <w:pPr>
        <w:pStyle w:val="FootnoteText"/>
        <w:rPr>
          <w:szCs w:val="18"/>
          <w:lang w:val="en-AU"/>
        </w:rPr>
      </w:pPr>
      <w:r>
        <w:rPr>
          <w:rStyle w:val="FootnoteReference"/>
        </w:rPr>
        <w:footnoteRef/>
      </w:r>
      <w:r>
        <w:t xml:space="preserve"> </w:t>
      </w:r>
      <w:r w:rsidRPr="00CC514F">
        <w:rPr>
          <w:szCs w:val="18"/>
        </w:rPr>
        <w:t>‘</w:t>
      </w:r>
      <w:r w:rsidRPr="00CC514F">
        <w:rPr>
          <w:szCs w:val="18"/>
          <w:lang w:val="en-AU"/>
        </w:rPr>
        <w:t xml:space="preserve">Follow-up Formula’ is currently defined by Codex as </w:t>
      </w:r>
      <w:r w:rsidRPr="00CC514F">
        <w:rPr>
          <w:i/>
          <w:szCs w:val="18"/>
          <w:lang w:val="en-AU"/>
        </w:rPr>
        <w:t>a food intended for use as a liquid part of the weaning diet for the infant from the 6</w:t>
      </w:r>
      <w:r w:rsidRPr="00CC514F">
        <w:rPr>
          <w:i/>
          <w:szCs w:val="18"/>
          <w:vertAlign w:val="superscript"/>
          <w:lang w:val="en-AU"/>
        </w:rPr>
        <w:t>th</w:t>
      </w:r>
      <w:r w:rsidRPr="00CC514F">
        <w:rPr>
          <w:i/>
          <w:szCs w:val="18"/>
          <w:lang w:val="en-AU"/>
        </w:rPr>
        <w:t xml:space="preserve"> month on and for young children </w:t>
      </w:r>
      <w:r w:rsidRPr="00CC514F">
        <w:rPr>
          <w:szCs w:val="18"/>
          <w:lang w:val="en-AU"/>
        </w:rPr>
        <w:t xml:space="preserve">(12-36 months). </w:t>
      </w:r>
    </w:p>
  </w:footnote>
  <w:footnote w:id="7">
    <w:p w14:paraId="59E44163" w14:textId="77777777" w:rsidR="0073117A" w:rsidRPr="00CC514F" w:rsidRDefault="0073117A" w:rsidP="00305848">
      <w:pPr>
        <w:pStyle w:val="FootnoteText"/>
        <w:rPr>
          <w:szCs w:val="18"/>
          <w:lang w:val="en-AU"/>
        </w:rPr>
      </w:pPr>
      <w:r w:rsidRPr="00CC514F">
        <w:rPr>
          <w:rStyle w:val="FootnoteReference"/>
          <w:szCs w:val="18"/>
        </w:rPr>
        <w:footnoteRef/>
      </w:r>
      <w:r w:rsidRPr="00CC514F">
        <w:rPr>
          <w:szCs w:val="18"/>
        </w:rPr>
        <w:t xml:space="preserve"> For further information, search on the </w:t>
      </w:r>
      <w:hyperlink r:id="rId1" w:history="1">
        <w:r w:rsidRPr="00CC514F">
          <w:rPr>
            <w:rStyle w:val="Hyperlink"/>
            <w:szCs w:val="18"/>
          </w:rPr>
          <w:t>Codex Alimentarius website</w:t>
        </w:r>
      </w:hyperlink>
      <w:r w:rsidRPr="00CC514F">
        <w:rPr>
          <w:szCs w:val="18"/>
        </w:rPr>
        <w:t xml:space="preserve"> (accessed 2</w:t>
      </w:r>
      <w:r>
        <w:rPr>
          <w:szCs w:val="18"/>
        </w:rPr>
        <w:t xml:space="preserve">3 September </w:t>
      </w:r>
      <w:r w:rsidRPr="00CC514F">
        <w:rPr>
          <w:szCs w:val="18"/>
        </w:rPr>
        <w:t>201</w:t>
      </w:r>
      <w:r>
        <w:rPr>
          <w:szCs w:val="18"/>
        </w:rPr>
        <w:t>9</w:t>
      </w:r>
      <w:r w:rsidRPr="00CC514F">
        <w:rPr>
          <w:szCs w:val="18"/>
        </w:rPr>
        <w:t xml:space="preserve">). </w:t>
      </w:r>
    </w:p>
  </w:footnote>
  <w:footnote w:id="8">
    <w:p w14:paraId="506B79D6" w14:textId="77777777" w:rsidR="0073117A" w:rsidRPr="00EC23EA" w:rsidRDefault="0073117A" w:rsidP="000C79B9">
      <w:pPr>
        <w:pStyle w:val="FootnoteText"/>
        <w:rPr>
          <w:lang w:val="en-AU"/>
        </w:rPr>
      </w:pPr>
      <w:r>
        <w:rPr>
          <w:rStyle w:val="FootnoteReference"/>
        </w:rPr>
        <w:footnoteRef/>
      </w:r>
      <w:r>
        <w:t xml:space="preserve"> </w:t>
      </w:r>
      <w:r>
        <w:rPr>
          <w:lang w:val="en-AU"/>
        </w:rPr>
        <w:t>‘No questions’ response means the USFDA does not question the basis for the notifier’s GRAS conclusion (USFDA 2016b).</w:t>
      </w:r>
    </w:p>
  </w:footnote>
  <w:footnote w:id="9">
    <w:p w14:paraId="462DE2FB" w14:textId="77777777" w:rsidR="0073117A" w:rsidRPr="00CA7FDA" w:rsidRDefault="0073117A" w:rsidP="000C79B9">
      <w:pPr>
        <w:pStyle w:val="FootnoteText"/>
        <w:rPr>
          <w:lang w:val="en-AU"/>
        </w:rPr>
      </w:pPr>
      <w:r w:rsidRPr="00F20A0C">
        <w:rPr>
          <w:rStyle w:val="FootnoteReference"/>
          <w:sz w:val="18"/>
          <w:szCs w:val="18"/>
        </w:rPr>
        <w:footnoteRef/>
      </w:r>
      <w:r w:rsidRPr="00F20A0C">
        <w:rPr>
          <w:sz w:val="18"/>
          <w:szCs w:val="18"/>
        </w:rPr>
        <w:t xml:space="preserve"> </w:t>
      </w:r>
      <w:r w:rsidRPr="00CA7FDA">
        <w:t>‘</w:t>
      </w:r>
      <w:r w:rsidRPr="00CA7FDA">
        <w:rPr>
          <w:lang w:val="en-AU"/>
        </w:rPr>
        <w:t xml:space="preserve">Infant formula’, ‘follow-on formula’, ‘foods for special medical purposes’ and ‘young children’ are defined in </w:t>
      </w:r>
      <w:hyperlink r:id="rId2" w:history="1">
        <w:r w:rsidRPr="00CA7FDA">
          <w:rPr>
            <w:rStyle w:val="Hyperlink"/>
            <w:lang w:val="en-AU"/>
          </w:rPr>
          <w:t>Regulation (EU) No 609/2013</w:t>
        </w:r>
      </w:hyperlink>
      <w:r w:rsidRPr="00CA7FDA">
        <w:rPr>
          <w:rStyle w:val="Hyperlink"/>
          <w:lang w:val="en-AU"/>
        </w:rPr>
        <w:t xml:space="preserve"> </w:t>
      </w:r>
      <w:r>
        <w:rPr>
          <w:lang w:val="en-AU"/>
        </w:rPr>
        <w:t>(accessed 23</w:t>
      </w:r>
      <w:r w:rsidRPr="00CA7FDA">
        <w:rPr>
          <w:lang w:val="en-AU"/>
        </w:rPr>
        <w:t xml:space="preserve"> September 201</w:t>
      </w:r>
      <w:r>
        <w:rPr>
          <w:lang w:val="en-AU"/>
        </w:rPr>
        <w:t>9</w:t>
      </w:r>
      <w:r w:rsidRPr="00CA7FDA">
        <w:rPr>
          <w:lang w:val="en-AU"/>
        </w:rPr>
        <w:t>).</w:t>
      </w:r>
    </w:p>
  </w:footnote>
  <w:footnote w:id="10">
    <w:p w14:paraId="5690AB8A" w14:textId="09672C3D" w:rsidR="0073117A" w:rsidRPr="00E24029" w:rsidRDefault="0073117A" w:rsidP="00D519E8">
      <w:pPr>
        <w:pStyle w:val="FootnoteText"/>
        <w:rPr>
          <w:lang w:val="en-AU"/>
        </w:rPr>
      </w:pPr>
      <w:r w:rsidRPr="00E24029">
        <w:rPr>
          <w:rStyle w:val="FootnoteReference"/>
        </w:rPr>
        <w:footnoteRef/>
      </w:r>
      <w:r w:rsidRPr="00E24029">
        <w:t xml:space="preserve"> Associate Professor Holmes specialises in the relationship between nutrition, gut microbiome and health and is the Microbiome Project node leader in the Charles Perkins Centre, and Co-leader of the Food for Health theme of the Centre for Advanced Food Enginomics at the University of Sydney. </w:t>
      </w:r>
    </w:p>
  </w:footnote>
  <w:footnote w:id="11">
    <w:p w14:paraId="0711AF71" w14:textId="77777777" w:rsidR="0073117A" w:rsidRPr="00B5219B" w:rsidRDefault="0073117A" w:rsidP="00D519E8">
      <w:pPr>
        <w:pStyle w:val="FootnoteText"/>
      </w:pPr>
      <w:r w:rsidRPr="00B737CB">
        <w:footnoteRef/>
      </w:r>
      <w:r w:rsidRPr="00052C1D">
        <w:t xml:space="preserve"> Professor Salminen is the Director of Functional Foods Forum and Professor Health Biosciences, University of Turku, Finland and Visiting Professor, Food</w:t>
      </w:r>
      <w:r w:rsidRPr="00B5219B">
        <w:t xml:space="preserve"> and Health, University of Life Sciences (BOKU), Vienna, Austria. Professor Salminen has a particular interest in food toxicology, probiotics, novel food risk assessment and health claims and has served on the EFSA Panel on Dietetic Products, Nutrition and Allergies NDA for these topics. </w:t>
      </w:r>
    </w:p>
  </w:footnote>
  <w:footnote w:id="12">
    <w:p w14:paraId="1C305AD2" w14:textId="16840F31" w:rsidR="0073117A" w:rsidRPr="00F65EE6" w:rsidRDefault="0073117A">
      <w:pPr>
        <w:pStyle w:val="FootnoteText"/>
        <w:rPr>
          <w:lang w:val="en-AU"/>
        </w:rPr>
      </w:pPr>
      <w:r>
        <w:rPr>
          <w:rStyle w:val="FootnoteReference"/>
        </w:rPr>
        <w:footnoteRef/>
      </w:r>
      <w:r>
        <w:t xml:space="preserve"> </w:t>
      </w:r>
      <w:hyperlink r:id="rId3" w:history="1">
        <w:r w:rsidRPr="00EB1450">
          <w:rPr>
            <w:rStyle w:val="Hyperlink"/>
          </w:rPr>
          <w:t>https://www.health.nsw.gov.au/Infectious/factsheets/Pages/campylobacteriosis.aspx</w:t>
        </w:r>
      </w:hyperlink>
      <w:r>
        <w:t xml:space="preserve"> </w:t>
      </w:r>
    </w:p>
  </w:footnote>
  <w:footnote w:id="13">
    <w:p w14:paraId="56D74FFE" w14:textId="69E81074" w:rsidR="0073117A" w:rsidRPr="00F65EE6" w:rsidRDefault="0073117A">
      <w:pPr>
        <w:pStyle w:val="FootnoteText"/>
        <w:rPr>
          <w:lang w:val="en-AU"/>
        </w:rPr>
      </w:pPr>
      <w:r>
        <w:rPr>
          <w:rStyle w:val="FootnoteReference"/>
        </w:rPr>
        <w:footnoteRef/>
      </w:r>
      <w:r>
        <w:t xml:space="preserve"> </w:t>
      </w:r>
      <w:hyperlink r:id="rId4" w:history="1">
        <w:r w:rsidRPr="008047E6">
          <w:rPr>
            <w:rStyle w:val="Hyperlink"/>
          </w:rPr>
          <w:t>https://www2.health.vic.gov.au/public-health/infectious-diseases/disease-information-advice/campylobacter</w:t>
        </w:r>
      </w:hyperlink>
    </w:p>
  </w:footnote>
  <w:footnote w:id="14">
    <w:p w14:paraId="03C7A202" w14:textId="77777777" w:rsidR="0073117A" w:rsidRPr="00F65EE6" w:rsidRDefault="0073117A" w:rsidP="00E5462A">
      <w:pPr>
        <w:pStyle w:val="FootnoteText"/>
        <w:rPr>
          <w:lang w:val="en-AU"/>
        </w:rPr>
      </w:pPr>
      <w:r>
        <w:rPr>
          <w:rStyle w:val="FootnoteReference"/>
        </w:rPr>
        <w:footnoteRef/>
      </w:r>
      <w:r>
        <w:t xml:space="preserve"> </w:t>
      </w:r>
      <w:hyperlink r:id="rId5" w:history="1">
        <w:r w:rsidRPr="00EB1450">
          <w:rPr>
            <w:rStyle w:val="Hyperlink"/>
          </w:rPr>
          <w:t>https://www.health.nsw.gov.au/Infectious/factsheets/Pages/campylobacteriosis.aspx</w:t>
        </w:r>
      </w:hyperlink>
      <w:r>
        <w:t xml:space="preserve"> </w:t>
      </w:r>
    </w:p>
  </w:footnote>
  <w:footnote w:id="15">
    <w:p w14:paraId="1C9EE49F" w14:textId="77777777" w:rsidR="0073117A" w:rsidRPr="00F65EE6" w:rsidRDefault="0073117A" w:rsidP="00E5462A">
      <w:pPr>
        <w:pStyle w:val="FootnoteText"/>
        <w:rPr>
          <w:lang w:val="en-AU"/>
        </w:rPr>
      </w:pPr>
      <w:r>
        <w:rPr>
          <w:rStyle w:val="FootnoteReference"/>
        </w:rPr>
        <w:footnoteRef/>
      </w:r>
      <w:r>
        <w:t xml:space="preserve"> </w:t>
      </w:r>
      <w:r w:rsidRPr="00F65EE6">
        <w:t>https://www2.health.vic.gov.au/public-health/infectious-diseases/disease-information-advice/campylobacter</w:t>
      </w:r>
    </w:p>
  </w:footnote>
  <w:footnote w:id="16">
    <w:p w14:paraId="215084FB" w14:textId="64D66972" w:rsidR="0073117A" w:rsidRPr="00994B33" w:rsidRDefault="0073117A" w:rsidP="00D91368">
      <w:pPr>
        <w:pStyle w:val="FootnoteText"/>
        <w:rPr>
          <w:lang w:val="en-AU"/>
        </w:rPr>
      </w:pPr>
      <w:r>
        <w:rPr>
          <w:rStyle w:val="FootnoteReference"/>
        </w:rPr>
        <w:footnoteRef/>
      </w:r>
      <w:r>
        <w:t xml:space="preserve"> A1190: 2’Fl in infant formula products and FSFYC at 2g/L; PA1197: 2’FL in infant formula products, infant food, and FSFYC at 2.4 g/L/ (withdrawn)</w:t>
      </w:r>
    </w:p>
  </w:footnote>
  <w:footnote w:id="17">
    <w:p w14:paraId="3557240F" w14:textId="369109AF" w:rsidR="0073117A" w:rsidRPr="00CF19CE" w:rsidRDefault="0073117A" w:rsidP="00FB57BD">
      <w:pPr>
        <w:pStyle w:val="FootnoteText"/>
        <w:rPr>
          <w:lang w:val="en-AU"/>
        </w:rPr>
      </w:pPr>
      <w:r>
        <w:rPr>
          <w:rStyle w:val="FootnoteReference"/>
        </w:rPr>
        <w:footnoteRef/>
      </w:r>
      <w:r>
        <w:t xml:space="preserve"> A1190: 2’Fl in infant formula products and FSFYC at 2g/L; PA1197: 2’FL in infant formula products, infant food, and FSFYC at 2.4 g/ L (withdrawn)</w:t>
      </w:r>
    </w:p>
  </w:footnote>
  <w:footnote w:id="18">
    <w:p w14:paraId="7C5BE390" w14:textId="77777777" w:rsidR="005D2AD0" w:rsidRPr="00E24029" w:rsidRDefault="005D2AD0" w:rsidP="005D2AD0">
      <w:pPr>
        <w:pStyle w:val="FootnoteText"/>
        <w:rPr>
          <w:lang w:val="en-AU"/>
        </w:rPr>
      </w:pPr>
      <w:r w:rsidRPr="00E24029">
        <w:rPr>
          <w:rStyle w:val="FootnoteReference"/>
        </w:rPr>
        <w:footnoteRef/>
      </w:r>
      <w:r w:rsidRPr="00E24029">
        <w:t xml:space="preserve"> Associate Professor Holmes specialises in the relationship between nutrition, gut microbiome and health and is the Microbiome Project node leader in the Charles Perkins Centre, and Co-leader of the Food for Health theme of the Centre for Advanced Food Enginomics at the University of Sydney. </w:t>
      </w:r>
    </w:p>
  </w:footnote>
  <w:footnote w:id="19">
    <w:p w14:paraId="316364CB" w14:textId="51592735" w:rsidR="0073117A" w:rsidRPr="00994B33" w:rsidRDefault="0073117A" w:rsidP="00067894">
      <w:pPr>
        <w:pStyle w:val="FootnoteText"/>
        <w:rPr>
          <w:lang w:val="en-AU"/>
        </w:rPr>
      </w:pPr>
      <w:r>
        <w:rPr>
          <w:rStyle w:val="FootnoteReference"/>
        </w:rPr>
        <w:footnoteRef/>
      </w:r>
      <w:r>
        <w:t xml:space="preserve"> A1190: 2’Fl in infant formula products and FSFYC at 2g/L; PA1197: 2’FL in infant formula products, infant food, and FSFYC at 2.4 g/L (withdrawn)</w:t>
      </w:r>
    </w:p>
  </w:footnote>
  <w:footnote w:id="20">
    <w:p w14:paraId="3C41BA53" w14:textId="77777777" w:rsidR="0073117A" w:rsidRPr="00F047E7" w:rsidRDefault="0073117A" w:rsidP="002F7096">
      <w:pPr>
        <w:pStyle w:val="FootnoteText"/>
        <w:rPr>
          <w:lang w:val="en-AU"/>
        </w:rPr>
      </w:pPr>
      <w:r>
        <w:rPr>
          <w:rStyle w:val="FootnoteReference"/>
        </w:rPr>
        <w:footnoteRef/>
      </w:r>
      <w:r>
        <w:t xml:space="preserve"> </w:t>
      </w:r>
      <w:r>
        <w:rPr>
          <w:lang w:val="en-AU"/>
        </w:rPr>
        <w:t>Brand name GlyCare.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04C89725" w:rsidR="0073117A" w:rsidRDefault="0073117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25F25D6"/>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814840"/>
    <w:multiLevelType w:val="multilevel"/>
    <w:tmpl w:val="F6CA2B2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04F4706"/>
    <w:multiLevelType w:val="hybridMultilevel"/>
    <w:tmpl w:val="F698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87CA5"/>
    <w:multiLevelType w:val="hybridMultilevel"/>
    <w:tmpl w:val="724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4008C"/>
    <w:multiLevelType w:val="hybridMultilevel"/>
    <w:tmpl w:val="8BEED12E"/>
    <w:lvl w:ilvl="0" w:tplc="40EAC442">
      <w:start w:val="1"/>
      <w:numFmt w:val="decimal"/>
      <w:lvlText w:val="%1."/>
      <w:lvlJc w:val="left"/>
      <w:pPr>
        <w:tabs>
          <w:tab w:val="num" w:pos="510"/>
        </w:tabs>
        <w:ind w:left="510" w:hanging="397"/>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7" w15:restartNumberingAfterBreak="0">
    <w:nsid w:val="1A8B6D39"/>
    <w:multiLevelType w:val="hybridMultilevel"/>
    <w:tmpl w:val="CAE089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C1E57A4"/>
    <w:multiLevelType w:val="hybridMultilevel"/>
    <w:tmpl w:val="DA5C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348BF"/>
    <w:multiLevelType w:val="hybridMultilevel"/>
    <w:tmpl w:val="212A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15BAB"/>
    <w:multiLevelType w:val="hybridMultilevel"/>
    <w:tmpl w:val="277AE6CC"/>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D33E8"/>
    <w:multiLevelType w:val="hybridMultilevel"/>
    <w:tmpl w:val="03A2BFAE"/>
    <w:lvl w:ilvl="0" w:tplc="F31AED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BA08CE"/>
    <w:multiLevelType w:val="hybridMultilevel"/>
    <w:tmpl w:val="CB4A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01F4EC6"/>
    <w:multiLevelType w:val="hybridMultilevel"/>
    <w:tmpl w:val="083638A0"/>
    <w:lvl w:ilvl="0" w:tplc="F2FEACB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31C7418"/>
    <w:multiLevelType w:val="hybridMultilevel"/>
    <w:tmpl w:val="334C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826A5"/>
    <w:multiLevelType w:val="hybridMultilevel"/>
    <w:tmpl w:val="67908B82"/>
    <w:lvl w:ilvl="0" w:tplc="74ECDDFA">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C568F2"/>
    <w:multiLevelType w:val="hybridMultilevel"/>
    <w:tmpl w:val="62C2039A"/>
    <w:lvl w:ilvl="0" w:tplc="C67CFB32">
      <w:start w:val="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3DFE7A70"/>
    <w:multiLevelType w:val="hybridMultilevel"/>
    <w:tmpl w:val="E392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1CD1F78"/>
    <w:multiLevelType w:val="hybridMultilevel"/>
    <w:tmpl w:val="DB168A5E"/>
    <w:lvl w:ilvl="0" w:tplc="EB1C269E">
      <w:start w:val="1"/>
      <w:numFmt w:val="bullet"/>
      <w:lvlText w:val="-"/>
      <w:lvlJc w:val="left"/>
      <w:pPr>
        <w:ind w:left="720" w:hanging="363"/>
      </w:pPr>
      <w:rPr>
        <w:rFonts w:ascii="Arial" w:eastAsiaTheme="minorHAnsi" w:hAnsi="Arial" w:cs="Arial" w:hint="default"/>
      </w:rPr>
    </w:lvl>
    <w:lvl w:ilvl="1" w:tplc="0C090003" w:tentative="1">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22"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E2E25"/>
    <w:multiLevelType w:val="multilevel"/>
    <w:tmpl w:val="DC625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97E07"/>
    <w:multiLevelType w:val="hybridMultilevel"/>
    <w:tmpl w:val="729C6EE4"/>
    <w:lvl w:ilvl="0" w:tplc="EB1C269E">
      <w:start w:val="1"/>
      <w:numFmt w:val="bullet"/>
      <w:lvlText w:val="-"/>
      <w:lvlJc w:val="left"/>
      <w:pPr>
        <w:ind w:left="930" w:hanging="363"/>
      </w:pPr>
      <w:rPr>
        <w:rFonts w:ascii="Arial" w:eastAsiaTheme="minorHAnsi" w:hAnsi="Arial" w:cs="Arial" w:hint="default"/>
      </w:rPr>
    </w:lvl>
    <w:lvl w:ilvl="1" w:tplc="0C090003" w:tentative="1">
      <w:start w:val="1"/>
      <w:numFmt w:val="bullet"/>
      <w:lvlText w:val="o"/>
      <w:lvlJc w:val="left"/>
      <w:pPr>
        <w:ind w:left="516" w:hanging="360"/>
      </w:pPr>
      <w:rPr>
        <w:rFonts w:ascii="Courier New" w:hAnsi="Courier New" w:cs="Courier New" w:hint="default"/>
      </w:rPr>
    </w:lvl>
    <w:lvl w:ilvl="2" w:tplc="0C090005" w:tentative="1">
      <w:start w:val="1"/>
      <w:numFmt w:val="bullet"/>
      <w:lvlText w:val=""/>
      <w:lvlJc w:val="left"/>
      <w:pPr>
        <w:ind w:left="1236" w:hanging="360"/>
      </w:pPr>
      <w:rPr>
        <w:rFonts w:ascii="Wingdings" w:hAnsi="Wingdings" w:hint="default"/>
      </w:rPr>
    </w:lvl>
    <w:lvl w:ilvl="3" w:tplc="0C090001" w:tentative="1">
      <w:start w:val="1"/>
      <w:numFmt w:val="bullet"/>
      <w:lvlText w:val=""/>
      <w:lvlJc w:val="left"/>
      <w:pPr>
        <w:ind w:left="1956" w:hanging="360"/>
      </w:pPr>
      <w:rPr>
        <w:rFonts w:ascii="Symbol" w:hAnsi="Symbol" w:hint="default"/>
      </w:rPr>
    </w:lvl>
    <w:lvl w:ilvl="4" w:tplc="0C090003" w:tentative="1">
      <w:start w:val="1"/>
      <w:numFmt w:val="bullet"/>
      <w:lvlText w:val="o"/>
      <w:lvlJc w:val="left"/>
      <w:pPr>
        <w:ind w:left="2676" w:hanging="360"/>
      </w:pPr>
      <w:rPr>
        <w:rFonts w:ascii="Courier New" w:hAnsi="Courier New" w:cs="Courier New" w:hint="default"/>
      </w:rPr>
    </w:lvl>
    <w:lvl w:ilvl="5" w:tplc="0C090005" w:tentative="1">
      <w:start w:val="1"/>
      <w:numFmt w:val="bullet"/>
      <w:lvlText w:val=""/>
      <w:lvlJc w:val="left"/>
      <w:pPr>
        <w:ind w:left="3396" w:hanging="360"/>
      </w:pPr>
      <w:rPr>
        <w:rFonts w:ascii="Wingdings" w:hAnsi="Wingdings" w:hint="default"/>
      </w:rPr>
    </w:lvl>
    <w:lvl w:ilvl="6" w:tplc="0C090001" w:tentative="1">
      <w:start w:val="1"/>
      <w:numFmt w:val="bullet"/>
      <w:lvlText w:val=""/>
      <w:lvlJc w:val="left"/>
      <w:pPr>
        <w:ind w:left="4116" w:hanging="360"/>
      </w:pPr>
      <w:rPr>
        <w:rFonts w:ascii="Symbol" w:hAnsi="Symbol" w:hint="default"/>
      </w:rPr>
    </w:lvl>
    <w:lvl w:ilvl="7" w:tplc="0C090003" w:tentative="1">
      <w:start w:val="1"/>
      <w:numFmt w:val="bullet"/>
      <w:lvlText w:val="o"/>
      <w:lvlJc w:val="left"/>
      <w:pPr>
        <w:ind w:left="4836" w:hanging="360"/>
      </w:pPr>
      <w:rPr>
        <w:rFonts w:ascii="Courier New" w:hAnsi="Courier New" w:cs="Courier New" w:hint="default"/>
      </w:rPr>
    </w:lvl>
    <w:lvl w:ilvl="8" w:tplc="0C090005" w:tentative="1">
      <w:start w:val="1"/>
      <w:numFmt w:val="bullet"/>
      <w:lvlText w:val=""/>
      <w:lvlJc w:val="left"/>
      <w:pPr>
        <w:ind w:left="5556" w:hanging="360"/>
      </w:pPr>
      <w:rPr>
        <w:rFonts w:ascii="Wingdings" w:hAnsi="Wingdings" w:hint="default"/>
      </w:rPr>
    </w:lvl>
  </w:abstractNum>
  <w:abstractNum w:abstractNumId="25" w15:restartNumberingAfterBreak="0">
    <w:nsid w:val="49964A30"/>
    <w:multiLevelType w:val="hybridMultilevel"/>
    <w:tmpl w:val="AD4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056462"/>
    <w:multiLevelType w:val="hybridMultilevel"/>
    <w:tmpl w:val="E514ABA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9E3C3B"/>
    <w:multiLevelType w:val="hybridMultilevel"/>
    <w:tmpl w:val="F096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742E1"/>
    <w:multiLevelType w:val="hybridMultilevel"/>
    <w:tmpl w:val="C5A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C2682"/>
    <w:multiLevelType w:val="hybridMultilevel"/>
    <w:tmpl w:val="69B0E834"/>
    <w:lvl w:ilvl="0" w:tplc="63C60B0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A7209D6"/>
    <w:multiLevelType w:val="hybridMultilevel"/>
    <w:tmpl w:val="F036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42C0C"/>
    <w:multiLevelType w:val="hybridMultilevel"/>
    <w:tmpl w:val="630C42A0"/>
    <w:lvl w:ilvl="0" w:tplc="1728D426">
      <w:start w:val="1"/>
      <w:numFmt w:val="bullet"/>
      <w:lvlText w:val="o"/>
      <w:lvlJc w:val="left"/>
      <w:pPr>
        <w:ind w:left="930" w:hanging="363"/>
      </w:pPr>
      <w:rPr>
        <w:rFonts w:ascii="Courier New" w:hAnsi="Courier New" w:hint="default"/>
      </w:rPr>
    </w:lvl>
    <w:lvl w:ilvl="1" w:tplc="0C090003" w:tentative="1">
      <w:start w:val="1"/>
      <w:numFmt w:val="bullet"/>
      <w:lvlText w:val="o"/>
      <w:lvlJc w:val="left"/>
      <w:pPr>
        <w:ind w:left="516" w:hanging="360"/>
      </w:pPr>
      <w:rPr>
        <w:rFonts w:ascii="Courier New" w:hAnsi="Courier New" w:cs="Courier New" w:hint="default"/>
      </w:rPr>
    </w:lvl>
    <w:lvl w:ilvl="2" w:tplc="0C090005" w:tentative="1">
      <w:start w:val="1"/>
      <w:numFmt w:val="bullet"/>
      <w:lvlText w:val=""/>
      <w:lvlJc w:val="left"/>
      <w:pPr>
        <w:ind w:left="1236" w:hanging="360"/>
      </w:pPr>
      <w:rPr>
        <w:rFonts w:ascii="Wingdings" w:hAnsi="Wingdings" w:hint="default"/>
      </w:rPr>
    </w:lvl>
    <w:lvl w:ilvl="3" w:tplc="0C090001" w:tentative="1">
      <w:start w:val="1"/>
      <w:numFmt w:val="bullet"/>
      <w:lvlText w:val=""/>
      <w:lvlJc w:val="left"/>
      <w:pPr>
        <w:ind w:left="1956" w:hanging="360"/>
      </w:pPr>
      <w:rPr>
        <w:rFonts w:ascii="Symbol" w:hAnsi="Symbol" w:hint="default"/>
      </w:rPr>
    </w:lvl>
    <w:lvl w:ilvl="4" w:tplc="0C090003" w:tentative="1">
      <w:start w:val="1"/>
      <w:numFmt w:val="bullet"/>
      <w:lvlText w:val="o"/>
      <w:lvlJc w:val="left"/>
      <w:pPr>
        <w:ind w:left="2676" w:hanging="360"/>
      </w:pPr>
      <w:rPr>
        <w:rFonts w:ascii="Courier New" w:hAnsi="Courier New" w:cs="Courier New" w:hint="default"/>
      </w:rPr>
    </w:lvl>
    <w:lvl w:ilvl="5" w:tplc="0C090005" w:tentative="1">
      <w:start w:val="1"/>
      <w:numFmt w:val="bullet"/>
      <w:lvlText w:val=""/>
      <w:lvlJc w:val="left"/>
      <w:pPr>
        <w:ind w:left="3396" w:hanging="360"/>
      </w:pPr>
      <w:rPr>
        <w:rFonts w:ascii="Wingdings" w:hAnsi="Wingdings" w:hint="default"/>
      </w:rPr>
    </w:lvl>
    <w:lvl w:ilvl="6" w:tplc="0C090001" w:tentative="1">
      <w:start w:val="1"/>
      <w:numFmt w:val="bullet"/>
      <w:lvlText w:val=""/>
      <w:lvlJc w:val="left"/>
      <w:pPr>
        <w:ind w:left="4116" w:hanging="360"/>
      </w:pPr>
      <w:rPr>
        <w:rFonts w:ascii="Symbol" w:hAnsi="Symbol" w:hint="default"/>
      </w:rPr>
    </w:lvl>
    <w:lvl w:ilvl="7" w:tplc="0C090003" w:tentative="1">
      <w:start w:val="1"/>
      <w:numFmt w:val="bullet"/>
      <w:lvlText w:val="o"/>
      <w:lvlJc w:val="left"/>
      <w:pPr>
        <w:ind w:left="4836" w:hanging="360"/>
      </w:pPr>
      <w:rPr>
        <w:rFonts w:ascii="Courier New" w:hAnsi="Courier New" w:cs="Courier New" w:hint="default"/>
      </w:rPr>
    </w:lvl>
    <w:lvl w:ilvl="8" w:tplc="0C090005" w:tentative="1">
      <w:start w:val="1"/>
      <w:numFmt w:val="bullet"/>
      <w:lvlText w:val=""/>
      <w:lvlJc w:val="left"/>
      <w:pPr>
        <w:ind w:left="5556" w:hanging="360"/>
      </w:pPr>
      <w:rPr>
        <w:rFonts w:ascii="Wingdings" w:hAnsi="Wingdings" w:hint="default"/>
      </w:rPr>
    </w:lvl>
  </w:abstractNum>
  <w:abstractNum w:abstractNumId="33" w15:restartNumberingAfterBreak="0">
    <w:nsid w:val="68543C78"/>
    <w:multiLevelType w:val="hybridMultilevel"/>
    <w:tmpl w:val="EFA425DE"/>
    <w:lvl w:ilvl="0" w:tplc="EB1C269E">
      <w:start w:val="1"/>
      <w:numFmt w:val="bullet"/>
      <w:lvlText w:val="-"/>
      <w:lvlJc w:val="left"/>
      <w:pPr>
        <w:ind w:left="930" w:hanging="363"/>
      </w:pPr>
      <w:rPr>
        <w:rFonts w:ascii="Arial" w:eastAsiaTheme="minorHAnsi" w:hAnsi="Arial" w:cs="Arial" w:hint="default"/>
      </w:rPr>
    </w:lvl>
    <w:lvl w:ilvl="1" w:tplc="0C090003" w:tentative="1">
      <w:start w:val="1"/>
      <w:numFmt w:val="bullet"/>
      <w:lvlText w:val="o"/>
      <w:lvlJc w:val="left"/>
      <w:pPr>
        <w:ind w:left="516" w:hanging="360"/>
      </w:pPr>
      <w:rPr>
        <w:rFonts w:ascii="Courier New" w:hAnsi="Courier New" w:cs="Courier New" w:hint="default"/>
      </w:rPr>
    </w:lvl>
    <w:lvl w:ilvl="2" w:tplc="0C090005" w:tentative="1">
      <w:start w:val="1"/>
      <w:numFmt w:val="bullet"/>
      <w:lvlText w:val=""/>
      <w:lvlJc w:val="left"/>
      <w:pPr>
        <w:ind w:left="1236" w:hanging="360"/>
      </w:pPr>
      <w:rPr>
        <w:rFonts w:ascii="Wingdings" w:hAnsi="Wingdings" w:hint="default"/>
      </w:rPr>
    </w:lvl>
    <w:lvl w:ilvl="3" w:tplc="0C090001" w:tentative="1">
      <w:start w:val="1"/>
      <w:numFmt w:val="bullet"/>
      <w:lvlText w:val=""/>
      <w:lvlJc w:val="left"/>
      <w:pPr>
        <w:ind w:left="1956" w:hanging="360"/>
      </w:pPr>
      <w:rPr>
        <w:rFonts w:ascii="Symbol" w:hAnsi="Symbol" w:hint="default"/>
      </w:rPr>
    </w:lvl>
    <w:lvl w:ilvl="4" w:tplc="0C090003" w:tentative="1">
      <w:start w:val="1"/>
      <w:numFmt w:val="bullet"/>
      <w:lvlText w:val="o"/>
      <w:lvlJc w:val="left"/>
      <w:pPr>
        <w:ind w:left="2676" w:hanging="360"/>
      </w:pPr>
      <w:rPr>
        <w:rFonts w:ascii="Courier New" w:hAnsi="Courier New" w:cs="Courier New" w:hint="default"/>
      </w:rPr>
    </w:lvl>
    <w:lvl w:ilvl="5" w:tplc="0C090005" w:tentative="1">
      <w:start w:val="1"/>
      <w:numFmt w:val="bullet"/>
      <w:lvlText w:val=""/>
      <w:lvlJc w:val="left"/>
      <w:pPr>
        <w:ind w:left="3396" w:hanging="360"/>
      </w:pPr>
      <w:rPr>
        <w:rFonts w:ascii="Wingdings" w:hAnsi="Wingdings" w:hint="default"/>
      </w:rPr>
    </w:lvl>
    <w:lvl w:ilvl="6" w:tplc="0C090001" w:tentative="1">
      <w:start w:val="1"/>
      <w:numFmt w:val="bullet"/>
      <w:lvlText w:val=""/>
      <w:lvlJc w:val="left"/>
      <w:pPr>
        <w:ind w:left="4116" w:hanging="360"/>
      </w:pPr>
      <w:rPr>
        <w:rFonts w:ascii="Symbol" w:hAnsi="Symbol" w:hint="default"/>
      </w:rPr>
    </w:lvl>
    <w:lvl w:ilvl="7" w:tplc="0C090003" w:tentative="1">
      <w:start w:val="1"/>
      <w:numFmt w:val="bullet"/>
      <w:lvlText w:val="o"/>
      <w:lvlJc w:val="left"/>
      <w:pPr>
        <w:ind w:left="4836" w:hanging="360"/>
      </w:pPr>
      <w:rPr>
        <w:rFonts w:ascii="Courier New" w:hAnsi="Courier New" w:cs="Courier New" w:hint="default"/>
      </w:rPr>
    </w:lvl>
    <w:lvl w:ilvl="8" w:tplc="0C090005" w:tentative="1">
      <w:start w:val="1"/>
      <w:numFmt w:val="bullet"/>
      <w:lvlText w:val=""/>
      <w:lvlJc w:val="left"/>
      <w:pPr>
        <w:ind w:left="5556" w:hanging="360"/>
      </w:pPr>
      <w:rPr>
        <w:rFonts w:ascii="Wingdings" w:hAnsi="Wingdings" w:hint="default"/>
      </w:rPr>
    </w:lvl>
  </w:abstractNum>
  <w:abstractNum w:abstractNumId="34" w15:restartNumberingAfterBreak="0">
    <w:nsid w:val="711E6F36"/>
    <w:multiLevelType w:val="hybridMultilevel"/>
    <w:tmpl w:val="0150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15:restartNumberingAfterBreak="0">
    <w:nsid w:val="724A40F3"/>
    <w:multiLevelType w:val="hybridMultilevel"/>
    <w:tmpl w:val="C804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944DB"/>
    <w:multiLevelType w:val="hybridMultilevel"/>
    <w:tmpl w:val="8680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F457A"/>
    <w:multiLevelType w:val="hybridMultilevel"/>
    <w:tmpl w:val="49AE1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A0A20C8"/>
    <w:multiLevelType w:val="hybridMultilevel"/>
    <w:tmpl w:val="7FBA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0228A"/>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14"/>
  </w:num>
  <w:num w:numId="5">
    <w:abstractNumId w:val="10"/>
  </w:num>
  <w:num w:numId="6">
    <w:abstractNumId w:val="19"/>
  </w:num>
  <w:num w:numId="7">
    <w:abstractNumId w:val="17"/>
  </w:num>
  <w:num w:numId="8">
    <w:abstractNumId w:val="7"/>
  </w:num>
  <w:num w:numId="9">
    <w:abstractNumId w:val="37"/>
  </w:num>
  <w:num w:numId="10">
    <w:abstractNumId w:val="35"/>
  </w:num>
  <w:num w:numId="11">
    <w:abstractNumId w:val="2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8"/>
  </w:num>
  <w:num w:numId="15">
    <w:abstractNumId w:val="34"/>
  </w:num>
  <w:num w:numId="16">
    <w:abstractNumId w:val="4"/>
  </w:num>
  <w:num w:numId="17">
    <w:abstractNumId w:val="2"/>
  </w:num>
  <w:num w:numId="18">
    <w:abstractNumId w:val="9"/>
  </w:num>
  <w:num w:numId="19">
    <w:abstractNumId w:val="13"/>
  </w:num>
  <w:num w:numId="20">
    <w:abstractNumId w:val="5"/>
  </w:num>
  <w:num w:numId="21">
    <w:abstractNumId w:val="25"/>
  </w:num>
  <w:num w:numId="22">
    <w:abstractNumId w:val="5"/>
  </w:num>
  <w:num w:numId="23">
    <w:abstractNumId w:val="38"/>
  </w:num>
  <w:num w:numId="24">
    <w:abstractNumId w:val="28"/>
  </w:num>
  <w:num w:numId="25">
    <w:abstractNumId w:val="8"/>
  </w:num>
  <w:num w:numId="26">
    <w:abstractNumId w:val="11"/>
  </w:num>
  <w:num w:numId="27">
    <w:abstractNumId w:val="27"/>
  </w:num>
  <w:num w:numId="28">
    <w:abstractNumId w:val="23"/>
  </w:num>
  <w:num w:numId="29">
    <w:abstractNumId w:val="16"/>
  </w:num>
  <w:num w:numId="30">
    <w:abstractNumId w:val="31"/>
  </w:num>
  <w:num w:numId="31">
    <w:abstractNumId w:val="12"/>
  </w:num>
  <w:num w:numId="32">
    <w:abstractNumId w:val="12"/>
  </w:num>
  <w:num w:numId="33">
    <w:abstractNumId w:val="32"/>
  </w:num>
  <w:num w:numId="34">
    <w:abstractNumId w:val="33"/>
  </w:num>
  <w:num w:numId="35">
    <w:abstractNumId w:val="0"/>
  </w:num>
  <w:num w:numId="36">
    <w:abstractNumId w:val="21"/>
  </w:num>
  <w:num w:numId="37">
    <w:abstractNumId w:val="24"/>
  </w:num>
  <w:num w:numId="38">
    <w:abstractNumId w:val="39"/>
  </w:num>
  <w:num w:numId="39">
    <w:abstractNumId w:val="29"/>
  </w:num>
  <w:num w:numId="40">
    <w:abstractNumId w:val="1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88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0780"/>
    <w:rsid w:val="000012D2"/>
    <w:rsid w:val="00001F33"/>
    <w:rsid w:val="0000247B"/>
    <w:rsid w:val="00004158"/>
    <w:rsid w:val="0000469B"/>
    <w:rsid w:val="0000510D"/>
    <w:rsid w:val="00010E79"/>
    <w:rsid w:val="00011187"/>
    <w:rsid w:val="000116A0"/>
    <w:rsid w:val="00011FF6"/>
    <w:rsid w:val="0001301B"/>
    <w:rsid w:val="00014E34"/>
    <w:rsid w:val="000153E9"/>
    <w:rsid w:val="00017C9B"/>
    <w:rsid w:val="00020981"/>
    <w:rsid w:val="00020CB3"/>
    <w:rsid w:val="0002256C"/>
    <w:rsid w:val="00022AEC"/>
    <w:rsid w:val="00022C47"/>
    <w:rsid w:val="00023C19"/>
    <w:rsid w:val="00027103"/>
    <w:rsid w:val="0003146A"/>
    <w:rsid w:val="00032B7D"/>
    <w:rsid w:val="00032D27"/>
    <w:rsid w:val="00032E36"/>
    <w:rsid w:val="000332AE"/>
    <w:rsid w:val="00035FF3"/>
    <w:rsid w:val="000377B0"/>
    <w:rsid w:val="00037C21"/>
    <w:rsid w:val="000418F0"/>
    <w:rsid w:val="00043210"/>
    <w:rsid w:val="00047A23"/>
    <w:rsid w:val="00050249"/>
    <w:rsid w:val="00051021"/>
    <w:rsid w:val="00051088"/>
    <w:rsid w:val="000524F0"/>
    <w:rsid w:val="00052C1D"/>
    <w:rsid w:val="00052D54"/>
    <w:rsid w:val="00053B3F"/>
    <w:rsid w:val="00055A17"/>
    <w:rsid w:val="00056F9C"/>
    <w:rsid w:val="000576EB"/>
    <w:rsid w:val="00060D73"/>
    <w:rsid w:val="000635F2"/>
    <w:rsid w:val="000647DB"/>
    <w:rsid w:val="00064B2D"/>
    <w:rsid w:val="00065F1F"/>
    <w:rsid w:val="00066AA0"/>
    <w:rsid w:val="00066EC0"/>
    <w:rsid w:val="0006771A"/>
    <w:rsid w:val="00067894"/>
    <w:rsid w:val="00070884"/>
    <w:rsid w:val="00070BCA"/>
    <w:rsid w:val="00072478"/>
    <w:rsid w:val="00074D5F"/>
    <w:rsid w:val="00076971"/>
    <w:rsid w:val="00076D33"/>
    <w:rsid w:val="00076D3B"/>
    <w:rsid w:val="000775A0"/>
    <w:rsid w:val="00077826"/>
    <w:rsid w:val="00077859"/>
    <w:rsid w:val="00077AEA"/>
    <w:rsid w:val="00081B0A"/>
    <w:rsid w:val="00084CC1"/>
    <w:rsid w:val="00084D58"/>
    <w:rsid w:val="000858FE"/>
    <w:rsid w:val="00092442"/>
    <w:rsid w:val="00093006"/>
    <w:rsid w:val="00094454"/>
    <w:rsid w:val="000A02AA"/>
    <w:rsid w:val="000A07B1"/>
    <w:rsid w:val="000A0E8D"/>
    <w:rsid w:val="000A30B2"/>
    <w:rsid w:val="000A3D8B"/>
    <w:rsid w:val="000A4DFF"/>
    <w:rsid w:val="000A6FF9"/>
    <w:rsid w:val="000B1F1E"/>
    <w:rsid w:val="000B427A"/>
    <w:rsid w:val="000B6AF2"/>
    <w:rsid w:val="000B78EC"/>
    <w:rsid w:val="000C0084"/>
    <w:rsid w:val="000C06CA"/>
    <w:rsid w:val="000C79B9"/>
    <w:rsid w:val="000D02A2"/>
    <w:rsid w:val="000D3470"/>
    <w:rsid w:val="000D4ABD"/>
    <w:rsid w:val="000D5250"/>
    <w:rsid w:val="000D5A29"/>
    <w:rsid w:val="000D6FD4"/>
    <w:rsid w:val="000D7B1C"/>
    <w:rsid w:val="000E0AE4"/>
    <w:rsid w:val="000E1EA4"/>
    <w:rsid w:val="000E3DBC"/>
    <w:rsid w:val="000E58A5"/>
    <w:rsid w:val="000E662F"/>
    <w:rsid w:val="000F142E"/>
    <w:rsid w:val="000F3CFE"/>
    <w:rsid w:val="000F46B5"/>
    <w:rsid w:val="000F4811"/>
    <w:rsid w:val="000F4D7D"/>
    <w:rsid w:val="000F4EE2"/>
    <w:rsid w:val="000F6568"/>
    <w:rsid w:val="000F7B31"/>
    <w:rsid w:val="00102819"/>
    <w:rsid w:val="00104544"/>
    <w:rsid w:val="001047D4"/>
    <w:rsid w:val="00104F22"/>
    <w:rsid w:val="0010778D"/>
    <w:rsid w:val="00107AAA"/>
    <w:rsid w:val="001114AC"/>
    <w:rsid w:val="00112188"/>
    <w:rsid w:val="001122EC"/>
    <w:rsid w:val="00113388"/>
    <w:rsid w:val="00115DC2"/>
    <w:rsid w:val="00116216"/>
    <w:rsid w:val="00121768"/>
    <w:rsid w:val="0012254D"/>
    <w:rsid w:val="0012388D"/>
    <w:rsid w:val="00125312"/>
    <w:rsid w:val="00127728"/>
    <w:rsid w:val="00127B0F"/>
    <w:rsid w:val="001310BB"/>
    <w:rsid w:val="00135695"/>
    <w:rsid w:val="0013631D"/>
    <w:rsid w:val="001367E5"/>
    <w:rsid w:val="00136B57"/>
    <w:rsid w:val="00137F41"/>
    <w:rsid w:val="00137F61"/>
    <w:rsid w:val="0014111C"/>
    <w:rsid w:val="00143818"/>
    <w:rsid w:val="00143837"/>
    <w:rsid w:val="00143EF2"/>
    <w:rsid w:val="00144673"/>
    <w:rsid w:val="00146000"/>
    <w:rsid w:val="00146ECA"/>
    <w:rsid w:val="00150B54"/>
    <w:rsid w:val="0015187A"/>
    <w:rsid w:val="00155668"/>
    <w:rsid w:val="0015633D"/>
    <w:rsid w:val="001604F2"/>
    <w:rsid w:val="00165183"/>
    <w:rsid w:val="001722C5"/>
    <w:rsid w:val="001741C2"/>
    <w:rsid w:val="001769C2"/>
    <w:rsid w:val="00182C4C"/>
    <w:rsid w:val="0018743B"/>
    <w:rsid w:val="001878C5"/>
    <w:rsid w:val="00192F77"/>
    <w:rsid w:val="00193394"/>
    <w:rsid w:val="0019399D"/>
    <w:rsid w:val="0019544D"/>
    <w:rsid w:val="00196050"/>
    <w:rsid w:val="001963A1"/>
    <w:rsid w:val="0019785E"/>
    <w:rsid w:val="00197D8D"/>
    <w:rsid w:val="001A1A1B"/>
    <w:rsid w:val="001A1A75"/>
    <w:rsid w:val="001A49AA"/>
    <w:rsid w:val="001A7E9A"/>
    <w:rsid w:val="001B302F"/>
    <w:rsid w:val="001B3F87"/>
    <w:rsid w:val="001C27A3"/>
    <w:rsid w:val="001C4FC8"/>
    <w:rsid w:val="001C5AC5"/>
    <w:rsid w:val="001C5FF9"/>
    <w:rsid w:val="001D0CA0"/>
    <w:rsid w:val="001D1357"/>
    <w:rsid w:val="001D1FB5"/>
    <w:rsid w:val="001D2205"/>
    <w:rsid w:val="001D2404"/>
    <w:rsid w:val="001D25A1"/>
    <w:rsid w:val="001D27B4"/>
    <w:rsid w:val="001D43F6"/>
    <w:rsid w:val="001D5915"/>
    <w:rsid w:val="001D78A8"/>
    <w:rsid w:val="001D7E58"/>
    <w:rsid w:val="001E09FA"/>
    <w:rsid w:val="001E69DD"/>
    <w:rsid w:val="001E7CF9"/>
    <w:rsid w:val="001F1E55"/>
    <w:rsid w:val="001F5C0B"/>
    <w:rsid w:val="001F7F63"/>
    <w:rsid w:val="00202A6F"/>
    <w:rsid w:val="00203934"/>
    <w:rsid w:val="002047F9"/>
    <w:rsid w:val="00206C38"/>
    <w:rsid w:val="002070E7"/>
    <w:rsid w:val="0021048F"/>
    <w:rsid w:val="00210F54"/>
    <w:rsid w:val="00212C51"/>
    <w:rsid w:val="00215FB2"/>
    <w:rsid w:val="0022094B"/>
    <w:rsid w:val="0022197C"/>
    <w:rsid w:val="00221D07"/>
    <w:rsid w:val="00222D69"/>
    <w:rsid w:val="00224E3B"/>
    <w:rsid w:val="00226389"/>
    <w:rsid w:val="00226CBA"/>
    <w:rsid w:val="00227E4A"/>
    <w:rsid w:val="00232D7C"/>
    <w:rsid w:val="0023505F"/>
    <w:rsid w:val="0023508F"/>
    <w:rsid w:val="0023552C"/>
    <w:rsid w:val="0023557E"/>
    <w:rsid w:val="002421C1"/>
    <w:rsid w:val="00250197"/>
    <w:rsid w:val="002503EB"/>
    <w:rsid w:val="00250701"/>
    <w:rsid w:val="00250DEB"/>
    <w:rsid w:val="00251302"/>
    <w:rsid w:val="00254BF3"/>
    <w:rsid w:val="002555D1"/>
    <w:rsid w:val="00255893"/>
    <w:rsid w:val="00255D9D"/>
    <w:rsid w:val="0026137B"/>
    <w:rsid w:val="0026387E"/>
    <w:rsid w:val="002655D8"/>
    <w:rsid w:val="002658FE"/>
    <w:rsid w:val="00270868"/>
    <w:rsid w:val="0027219E"/>
    <w:rsid w:val="0027485F"/>
    <w:rsid w:val="002749E1"/>
    <w:rsid w:val="002752C6"/>
    <w:rsid w:val="0027557C"/>
    <w:rsid w:val="002758A0"/>
    <w:rsid w:val="0027674E"/>
    <w:rsid w:val="00276A2F"/>
    <w:rsid w:val="00277184"/>
    <w:rsid w:val="00280819"/>
    <w:rsid w:val="00280A76"/>
    <w:rsid w:val="0028103C"/>
    <w:rsid w:val="002824E5"/>
    <w:rsid w:val="002827BF"/>
    <w:rsid w:val="00282AFD"/>
    <w:rsid w:val="00285A31"/>
    <w:rsid w:val="0029204E"/>
    <w:rsid w:val="002921F3"/>
    <w:rsid w:val="00292B9B"/>
    <w:rsid w:val="00292C22"/>
    <w:rsid w:val="00294265"/>
    <w:rsid w:val="00295D9F"/>
    <w:rsid w:val="002A0194"/>
    <w:rsid w:val="002A063C"/>
    <w:rsid w:val="002A2E09"/>
    <w:rsid w:val="002A340B"/>
    <w:rsid w:val="002A4AB9"/>
    <w:rsid w:val="002A5CCB"/>
    <w:rsid w:val="002A5F8B"/>
    <w:rsid w:val="002A7F6C"/>
    <w:rsid w:val="002B0071"/>
    <w:rsid w:val="002B08F2"/>
    <w:rsid w:val="002B6296"/>
    <w:rsid w:val="002B6D6F"/>
    <w:rsid w:val="002B6E8B"/>
    <w:rsid w:val="002B7430"/>
    <w:rsid w:val="002C096C"/>
    <w:rsid w:val="002C1144"/>
    <w:rsid w:val="002C1A3B"/>
    <w:rsid w:val="002D13A1"/>
    <w:rsid w:val="002D1847"/>
    <w:rsid w:val="002D1E46"/>
    <w:rsid w:val="002D5F6F"/>
    <w:rsid w:val="002D7E72"/>
    <w:rsid w:val="002E16D5"/>
    <w:rsid w:val="002E1820"/>
    <w:rsid w:val="002E32B5"/>
    <w:rsid w:val="002E3D4A"/>
    <w:rsid w:val="002E5323"/>
    <w:rsid w:val="002E6A97"/>
    <w:rsid w:val="002F1908"/>
    <w:rsid w:val="002F209B"/>
    <w:rsid w:val="002F27C8"/>
    <w:rsid w:val="002F35EA"/>
    <w:rsid w:val="002F3E58"/>
    <w:rsid w:val="002F4E5F"/>
    <w:rsid w:val="002F6488"/>
    <w:rsid w:val="002F7096"/>
    <w:rsid w:val="0030145A"/>
    <w:rsid w:val="00301523"/>
    <w:rsid w:val="00305848"/>
    <w:rsid w:val="00305C54"/>
    <w:rsid w:val="00305D47"/>
    <w:rsid w:val="003070A2"/>
    <w:rsid w:val="0031016C"/>
    <w:rsid w:val="00310CB7"/>
    <w:rsid w:val="003124CC"/>
    <w:rsid w:val="0031426B"/>
    <w:rsid w:val="003152AA"/>
    <w:rsid w:val="00317CB6"/>
    <w:rsid w:val="003202A6"/>
    <w:rsid w:val="003213F9"/>
    <w:rsid w:val="003228D3"/>
    <w:rsid w:val="00322BE8"/>
    <w:rsid w:val="00323AB6"/>
    <w:rsid w:val="00323DBF"/>
    <w:rsid w:val="00327867"/>
    <w:rsid w:val="00332901"/>
    <w:rsid w:val="00332B12"/>
    <w:rsid w:val="00333FFB"/>
    <w:rsid w:val="00337CBC"/>
    <w:rsid w:val="003428FC"/>
    <w:rsid w:val="0034561D"/>
    <w:rsid w:val="00346622"/>
    <w:rsid w:val="003478DF"/>
    <w:rsid w:val="003507DB"/>
    <w:rsid w:val="00351B07"/>
    <w:rsid w:val="00354744"/>
    <w:rsid w:val="0036533D"/>
    <w:rsid w:val="00366D0F"/>
    <w:rsid w:val="00367DB5"/>
    <w:rsid w:val="00367F33"/>
    <w:rsid w:val="00371B29"/>
    <w:rsid w:val="00373CAE"/>
    <w:rsid w:val="003766F8"/>
    <w:rsid w:val="00376D4E"/>
    <w:rsid w:val="00380106"/>
    <w:rsid w:val="0038130D"/>
    <w:rsid w:val="003814F0"/>
    <w:rsid w:val="00381E07"/>
    <w:rsid w:val="003820E5"/>
    <w:rsid w:val="003836BF"/>
    <w:rsid w:val="00385788"/>
    <w:rsid w:val="00386D2C"/>
    <w:rsid w:val="00387107"/>
    <w:rsid w:val="00391094"/>
    <w:rsid w:val="00391769"/>
    <w:rsid w:val="00391A99"/>
    <w:rsid w:val="003941A8"/>
    <w:rsid w:val="003951C9"/>
    <w:rsid w:val="003953E1"/>
    <w:rsid w:val="003956B3"/>
    <w:rsid w:val="0039689E"/>
    <w:rsid w:val="00396F31"/>
    <w:rsid w:val="003A0A4D"/>
    <w:rsid w:val="003A1037"/>
    <w:rsid w:val="003A1B98"/>
    <w:rsid w:val="003A39DD"/>
    <w:rsid w:val="003A3D30"/>
    <w:rsid w:val="003A4891"/>
    <w:rsid w:val="003A5C75"/>
    <w:rsid w:val="003A5E6B"/>
    <w:rsid w:val="003A68BE"/>
    <w:rsid w:val="003A7B84"/>
    <w:rsid w:val="003B0A65"/>
    <w:rsid w:val="003B21FE"/>
    <w:rsid w:val="003B33C6"/>
    <w:rsid w:val="003B3A65"/>
    <w:rsid w:val="003B3DBC"/>
    <w:rsid w:val="003B51B3"/>
    <w:rsid w:val="003B522E"/>
    <w:rsid w:val="003B7351"/>
    <w:rsid w:val="003B7B1F"/>
    <w:rsid w:val="003C0EDA"/>
    <w:rsid w:val="003C4969"/>
    <w:rsid w:val="003C4DA4"/>
    <w:rsid w:val="003C67F5"/>
    <w:rsid w:val="003C6894"/>
    <w:rsid w:val="003D2CDC"/>
    <w:rsid w:val="003D6B3E"/>
    <w:rsid w:val="003D7E8A"/>
    <w:rsid w:val="003E2BDE"/>
    <w:rsid w:val="003E41D5"/>
    <w:rsid w:val="003E43B4"/>
    <w:rsid w:val="003E46BA"/>
    <w:rsid w:val="003E78B4"/>
    <w:rsid w:val="003F2FA3"/>
    <w:rsid w:val="003F39AA"/>
    <w:rsid w:val="003F56FE"/>
    <w:rsid w:val="003F63C2"/>
    <w:rsid w:val="003F644C"/>
    <w:rsid w:val="003F66CF"/>
    <w:rsid w:val="003F74C1"/>
    <w:rsid w:val="00401ADE"/>
    <w:rsid w:val="004022CE"/>
    <w:rsid w:val="004037A4"/>
    <w:rsid w:val="004044F9"/>
    <w:rsid w:val="00405B1A"/>
    <w:rsid w:val="00410C76"/>
    <w:rsid w:val="00411907"/>
    <w:rsid w:val="00411F30"/>
    <w:rsid w:val="00417EE3"/>
    <w:rsid w:val="004207EB"/>
    <w:rsid w:val="00421730"/>
    <w:rsid w:val="00422C5A"/>
    <w:rsid w:val="00422C72"/>
    <w:rsid w:val="00422EC9"/>
    <w:rsid w:val="00423AC7"/>
    <w:rsid w:val="00426282"/>
    <w:rsid w:val="00430183"/>
    <w:rsid w:val="00431497"/>
    <w:rsid w:val="00432A42"/>
    <w:rsid w:val="00437276"/>
    <w:rsid w:val="00442B13"/>
    <w:rsid w:val="00443850"/>
    <w:rsid w:val="004454DD"/>
    <w:rsid w:val="004473BB"/>
    <w:rsid w:val="00451A3B"/>
    <w:rsid w:val="00452B55"/>
    <w:rsid w:val="00453646"/>
    <w:rsid w:val="004553C2"/>
    <w:rsid w:val="00456B54"/>
    <w:rsid w:val="00456BD5"/>
    <w:rsid w:val="004606BB"/>
    <w:rsid w:val="004608CD"/>
    <w:rsid w:val="004639B4"/>
    <w:rsid w:val="00464643"/>
    <w:rsid w:val="00465FE0"/>
    <w:rsid w:val="00470E21"/>
    <w:rsid w:val="0047234D"/>
    <w:rsid w:val="00474C39"/>
    <w:rsid w:val="004801C9"/>
    <w:rsid w:val="00481D88"/>
    <w:rsid w:val="004852CE"/>
    <w:rsid w:val="004861C3"/>
    <w:rsid w:val="00486793"/>
    <w:rsid w:val="00486C66"/>
    <w:rsid w:val="0049083D"/>
    <w:rsid w:val="00490A92"/>
    <w:rsid w:val="00494A3F"/>
    <w:rsid w:val="00496F21"/>
    <w:rsid w:val="004A15C0"/>
    <w:rsid w:val="004A2037"/>
    <w:rsid w:val="004A22A2"/>
    <w:rsid w:val="004A43A8"/>
    <w:rsid w:val="004A644C"/>
    <w:rsid w:val="004A793C"/>
    <w:rsid w:val="004B047B"/>
    <w:rsid w:val="004B3085"/>
    <w:rsid w:val="004B43B8"/>
    <w:rsid w:val="004B4BC4"/>
    <w:rsid w:val="004B4CDC"/>
    <w:rsid w:val="004B5202"/>
    <w:rsid w:val="004B5918"/>
    <w:rsid w:val="004C0C58"/>
    <w:rsid w:val="004C1362"/>
    <w:rsid w:val="004C3248"/>
    <w:rsid w:val="004C4D02"/>
    <w:rsid w:val="004C4E0F"/>
    <w:rsid w:val="004C563B"/>
    <w:rsid w:val="004C632F"/>
    <w:rsid w:val="004C6E69"/>
    <w:rsid w:val="004D121E"/>
    <w:rsid w:val="004D1B1C"/>
    <w:rsid w:val="004D1F5F"/>
    <w:rsid w:val="004D2CF1"/>
    <w:rsid w:val="004D3F3B"/>
    <w:rsid w:val="004D4157"/>
    <w:rsid w:val="004D4AD9"/>
    <w:rsid w:val="004D620C"/>
    <w:rsid w:val="004D74E9"/>
    <w:rsid w:val="004D7E60"/>
    <w:rsid w:val="004E5D6F"/>
    <w:rsid w:val="004E7657"/>
    <w:rsid w:val="004F1268"/>
    <w:rsid w:val="004F1C16"/>
    <w:rsid w:val="004F3FE3"/>
    <w:rsid w:val="004F42AA"/>
    <w:rsid w:val="004F4F6E"/>
    <w:rsid w:val="004F4F98"/>
    <w:rsid w:val="004F5927"/>
    <w:rsid w:val="004F69F6"/>
    <w:rsid w:val="004F79AC"/>
    <w:rsid w:val="004F7AEB"/>
    <w:rsid w:val="00501A8A"/>
    <w:rsid w:val="005024C9"/>
    <w:rsid w:val="00503B82"/>
    <w:rsid w:val="00504259"/>
    <w:rsid w:val="005065D5"/>
    <w:rsid w:val="00506E9B"/>
    <w:rsid w:val="005076F2"/>
    <w:rsid w:val="005132BC"/>
    <w:rsid w:val="00514001"/>
    <w:rsid w:val="00514C60"/>
    <w:rsid w:val="00515F57"/>
    <w:rsid w:val="00516005"/>
    <w:rsid w:val="005207D8"/>
    <w:rsid w:val="00523930"/>
    <w:rsid w:val="005244F1"/>
    <w:rsid w:val="0052465A"/>
    <w:rsid w:val="0052690A"/>
    <w:rsid w:val="00526CA2"/>
    <w:rsid w:val="00526CB9"/>
    <w:rsid w:val="00527F58"/>
    <w:rsid w:val="00527FC1"/>
    <w:rsid w:val="0053206F"/>
    <w:rsid w:val="005320AD"/>
    <w:rsid w:val="00532A9F"/>
    <w:rsid w:val="00533B96"/>
    <w:rsid w:val="0053560F"/>
    <w:rsid w:val="00537CDC"/>
    <w:rsid w:val="00545C12"/>
    <w:rsid w:val="005467B0"/>
    <w:rsid w:val="005539C0"/>
    <w:rsid w:val="00560185"/>
    <w:rsid w:val="00562618"/>
    <w:rsid w:val="005626A7"/>
    <w:rsid w:val="00562917"/>
    <w:rsid w:val="00562A76"/>
    <w:rsid w:val="005632B5"/>
    <w:rsid w:val="0056335E"/>
    <w:rsid w:val="00563857"/>
    <w:rsid w:val="00564845"/>
    <w:rsid w:val="00564EDF"/>
    <w:rsid w:val="00565FF5"/>
    <w:rsid w:val="00566F85"/>
    <w:rsid w:val="0057068D"/>
    <w:rsid w:val="00571B8C"/>
    <w:rsid w:val="005724A2"/>
    <w:rsid w:val="00574091"/>
    <w:rsid w:val="005769F2"/>
    <w:rsid w:val="00580DDF"/>
    <w:rsid w:val="00580FE0"/>
    <w:rsid w:val="005811B7"/>
    <w:rsid w:val="005811CE"/>
    <w:rsid w:val="00581D5D"/>
    <w:rsid w:val="00585E88"/>
    <w:rsid w:val="0058607E"/>
    <w:rsid w:val="00586228"/>
    <w:rsid w:val="0059183E"/>
    <w:rsid w:val="005946D3"/>
    <w:rsid w:val="005948D8"/>
    <w:rsid w:val="00597631"/>
    <w:rsid w:val="005A2F76"/>
    <w:rsid w:val="005A572E"/>
    <w:rsid w:val="005B084E"/>
    <w:rsid w:val="005B0A3D"/>
    <w:rsid w:val="005B26D2"/>
    <w:rsid w:val="005B2993"/>
    <w:rsid w:val="005B3A26"/>
    <w:rsid w:val="005B6690"/>
    <w:rsid w:val="005B68A3"/>
    <w:rsid w:val="005B6AF4"/>
    <w:rsid w:val="005C04CB"/>
    <w:rsid w:val="005C24CA"/>
    <w:rsid w:val="005C2605"/>
    <w:rsid w:val="005C42D8"/>
    <w:rsid w:val="005C4A15"/>
    <w:rsid w:val="005C5EC7"/>
    <w:rsid w:val="005D16AD"/>
    <w:rsid w:val="005D2016"/>
    <w:rsid w:val="005D2AD0"/>
    <w:rsid w:val="005D561E"/>
    <w:rsid w:val="005D7121"/>
    <w:rsid w:val="005D72E1"/>
    <w:rsid w:val="005E06C0"/>
    <w:rsid w:val="005E2CA0"/>
    <w:rsid w:val="005E2F32"/>
    <w:rsid w:val="005E4793"/>
    <w:rsid w:val="005E522C"/>
    <w:rsid w:val="005E58D3"/>
    <w:rsid w:val="005E6E16"/>
    <w:rsid w:val="005F09B7"/>
    <w:rsid w:val="005F0F24"/>
    <w:rsid w:val="005F15CE"/>
    <w:rsid w:val="005F400E"/>
    <w:rsid w:val="005F7342"/>
    <w:rsid w:val="00603B2B"/>
    <w:rsid w:val="00603FFC"/>
    <w:rsid w:val="006043CD"/>
    <w:rsid w:val="006045FA"/>
    <w:rsid w:val="00607E54"/>
    <w:rsid w:val="006102EF"/>
    <w:rsid w:val="00610A3C"/>
    <w:rsid w:val="006138D7"/>
    <w:rsid w:val="00615DF2"/>
    <w:rsid w:val="00615E83"/>
    <w:rsid w:val="00616017"/>
    <w:rsid w:val="0062321E"/>
    <w:rsid w:val="00626169"/>
    <w:rsid w:val="006278F4"/>
    <w:rsid w:val="00627F48"/>
    <w:rsid w:val="00632C96"/>
    <w:rsid w:val="0063455F"/>
    <w:rsid w:val="00635814"/>
    <w:rsid w:val="00642904"/>
    <w:rsid w:val="00642F0F"/>
    <w:rsid w:val="00644041"/>
    <w:rsid w:val="006473DC"/>
    <w:rsid w:val="00647E59"/>
    <w:rsid w:val="00653399"/>
    <w:rsid w:val="006533B5"/>
    <w:rsid w:val="00653FA0"/>
    <w:rsid w:val="006548CA"/>
    <w:rsid w:val="00654B0C"/>
    <w:rsid w:val="0065536A"/>
    <w:rsid w:val="006557A6"/>
    <w:rsid w:val="00656231"/>
    <w:rsid w:val="006574F5"/>
    <w:rsid w:val="0065753B"/>
    <w:rsid w:val="00657A28"/>
    <w:rsid w:val="00660182"/>
    <w:rsid w:val="00663ECE"/>
    <w:rsid w:val="00663FCF"/>
    <w:rsid w:val="006652A2"/>
    <w:rsid w:val="00672FDB"/>
    <w:rsid w:val="00673269"/>
    <w:rsid w:val="00674E5E"/>
    <w:rsid w:val="00675ABD"/>
    <w:rsid w:val="00683071"/>
    <w:rsid w:val="006855CE"/>
    <w:rsid w:val="00692490"/>
    <w:rsid w:val="006969CC"/>
    <w:rsid w:val="00696A15"/>
    <w:rsid w:val="00696A32"/>
    <w:rsid w:val="00696EAA"/>
    <w:rsid w:val="006A03F5"/>
    <w:rsid w:val="006A197B"/>
    <w:rsid w:val="006A1FFB"/>
    <w:rsid w:val="006A2587"/>
    <w:rsid w:val="006A48A7"/>
    <w:rsid w:val="006A5AD1"/>
    <w:rsid w:val="006A5D40"/>
    <w:rsid w:val="006A659D"/>
    <w:rsid w:val="006A6EE2"/>
    <w:rsid w:val="006A760C"/>
    <w:rsid w:val="006B08EF"/>
    <w:rsid w:val="006B5C24"/>
    <w:rsid w:val="006B6086"/>
    <w:rsid w:val="006B6A03"/>
    <w:rsid w:val="006C0048"/>
    <w:rsid w:val="006C008C"/>
    <w:rsid w:val="006C008D"/>
    <w:rsid w:val="006C060C"/>
    <w:rsid w:val="006C0E14"/>
    <w:rsid w:val="006C116D"/>
    <w:rsid w:val="006C22A7"/>
    <w:rsid w:val="006C361F"/>
    <w:rsid w:val="006C3ADC"/>
    <w:rsid w:val="006C5CF5"/>
    <w:rsid w:val="006C62AD"/>
    <w:rsid w:val="006D33FF"/>
    <w:rsid w:val="006D3A47"/>
    <w:rsid w:val="006D4A35"/>
    <w:rsid w:val="006D4CD2"/>
    <w:rsid w:val="006D5248"/>
    <w:rsid w:val="006E0835"/>
    <w:rsid w:val="006E10A1"/>
    <w:rsid w:val="006E2CB3"/>
    <w:rsid w:val="006F0454"/>
    <w:rsid w:val="006F2433"/>
    <w:rsid w:val="006F4A82"/>
    <w:rsid w:val="006F5BC7"/>
    <w:rsid w:val="006F78FB"/>
    <w:rsid w:val="007002F0"/>
    <w:rsid w:val="00700554"/>
    <w:rsid w:val="007014E0"/>
    <w:rsid w:val="00702F10"/>
    <w:rsid w:val="0070355E"/>
    <w:rsid w:val="007044C3"/>
    <w:rsid w:val="00705170"/>
    <w:rsid w:val="007053A3"/>
    <w:rsid w:val="0070586A"/>
    <w:rsid w:val="00705CC7"/>
    <w:rsid w:val="0070659D"/>
    <w:rsid w:val="0070771A"/>
    <w:rsid w:val="00710C37"/>
    <w:rsid w:val="00711400"/>
    <w:rsid w:val="00711A01"/>
    <w:rsid w:val="0071277A"/>
    <w:rsid w:val="00715739"/>
    <w:rsid w:val="0072323B"/>
    <w:rsid w:val="007247DE"/>
    <w:rsid w:val="00724FA4"/>
    <w:rsid w:val="00730800"/>
    <w:rsid w:val="00730880"/>
    <w:rsid w:val="0073117A"/>
    <w:rsid w:val="007313CD"/>
    <w:rsid w:val="007328DF"/>
    <w:rsid w:val="00733675"/>
    <w:rsid w:val="00733BF5"/>
    <w:rsid w:val="00736692"/>
    <w:rsid w:val="007406E8"/>
    <w:rsid w:val="0074143D"/>
    <w:rsid w:val="00741D9E"/>
    <w:rsid w:val="00741ED4"/>
    <w:rsid w:val="007423EA"/>
    <w:rsid w:val="00743BA7"/>
    <w:rsid w:val="007441AC"/>
    <w:rsid w:val="00746583"/>
    <w:rsid w:val="007503C6"/>
    <w:rsid w:val="0075124A"/>
    <w:rsid w:val="00753491"/>
    <w:rsid w:val="00755F02"/>
    <w:rsid w:val="007602AA"/>
    <w:rsid w:val="00760D3E"/>
    <w:rsid w:val="0076228A"/>
    <w:rsid w:val="00763279"/>
    <w:rsid w:val="00764CEC"/>
    <w:rsid w:val="007651A2"/>
    <w:rsid w:val="007652EF"/>
    <w:rsid w:val="00765DE1"/>
    <w:rsid w:val="007673C3"/>
    <w:rsid w:val="00772063"/>
    <w:rsid w:val="007726E1"/>
    <w:rsid w:val="00772988"/>
    <w:rsid w:val="00772BDC"/>
    <w:rsid w:val="0077319A"/>
    <w:rsid w:val="00777437"/>
    <w:rsid w:val="007776B4"/>
    <w:rsid w:val="00780792"/>
    <w:rsid w:val="00780B8F"/>
    <w:rsid w:val="0078309E"/>
    <w:rsid w:val="00784951"/>
    <w:rsid w:val="0078575D"/>
    <w:rsid w:val="00786BE2"/>
    <w:rsid w:val="007879E1"/>
    <w:rsid w:val="0079098C"/>
    <w:rsid w:val="00793F1D"/>
    <w:rsid w:val="00794564"/>
    <w:rsid w:val="00795D86"/>
    <w:rsid w:val="00797E0F"/>
    <w:rsid w:val="007A0CF4"/>
    <w:rsid w:val="007A1533"/>
    <w:rsid w:val="007A1A57"/>
    <w:rsid w:val="007A4283"/>
    <w:rsid w:val="007A44B4"/>
    <w:rsid w:val="007A53BF"/>
    <w:rsid w:val="007A6357"/>
    <w:rsid w:val="007A7D3D"/>
    <w:rsid w:val="007B0540"/>
    <w:rsid w:val="007B1767"/>
    <w:rsid w:val="007B225D"/>
    <w:rsid w:val="007B2A2B"/>
    <w:rsid w:val="007B320A"/>
    <w:rsid w:val="007B37B3"/>
    <w:rsid w:val="007B5530"/>
    <w:rsid w:val="007B6044"/>
    <w:rsid w:val="007C1C64"/>
    <w:rsid w:val="007C22CB"/>
    <w:rsid w:val="007C5C51"/>
    <w:rsid w:val="007D0189"/>
    <w:rsid w:val="007D05F5"/>
    <w:rsid w:val="007D2AC5"/>
    <w:rsid w:val="007D2F2D"/>
    <w:rsid w:val="007D31A2"/>
    <w:rsid w:val="007D3207"/>
    <w:rsid w:val="007D6F90"/>
    <w:rsid w:val="007D74D8"/>
    <w:rsid w:val="007E48BC"/>
    <w:rsid w:val="007E6643"/>
    <w:rsid w:val="007E755E"/>
    <w:rsid w:val="007E79F7"/>
    <w:rsid w:val="007F0D72"/>
    <w:rsid w:val="007F3630"/>
    <w:rsid w:val="007F3D37"/>
    <w:rsid w:val="007F7BF7"/>
    <w:rsid w:val="00800DC0"/>
    <w:rsid w:val="0080109D"/>
    <w:rsid w:val="008047E6"/>
    <w:rsid w:val="00806447"/>
    <w:rsid w:val="00807559"/>
    <w:rsid w:val="00811B0D"/>
    <w:rsid w:val="00811C6D"/>
    <w:rsid w:val="00813464"/>
    <w:rsid w:val="008136D3"/>
    <w:rsid w:val="00831154"/>
    <w:rsid w:val="0083325B"/>
    <w:rsid w:val="008347A6"/>
    <w:rsid w:val="008365D3"/>
    <w:rsid w:val="00842AE4"/>
    <w:rsid w:val="0084308D"/>
    <w:rsid w:val="0084446A"/>
    <w:rsid w:val="008450BC"/>
    <w:rsid w:val="00847066"/>
    <w:rsid w:val="008476F0"/>
    <w:rsid w:val="00850B09"/>
    <w:rsid w:val="008519BD"/>
    <w:rsid w:val="008522D5"/>
    <w:rsid w:val="00852504"/>
    <w:rsid w:val="00852BC2"/>
    <w:rsid w:val="0085334B"/>
    <w:rsid w:val="0085363A"/>
    <w:rsid w:val="008537BA"/>
    <w:rsid w:val="00856712"/>
    <w:rsid w:val="00860808"/>
    <w:rsid w:val="00861C13"/>
    <w:rsid w:val="00862349"/>
    <w:rsid w:val="00863606"/>
    <w:rsid w:val="0086424B"/>
    <w:rsid w:val="0086571E"/>
    <w:rsid w:val="00867E99"/>
    <w:rsid w:val="00870214"/>
    <w:rsid w:val="00871116"/>
    <w:rsid w:val="00871B69"/>
    <w:rsid w:val="00872469"/>
    <w:rsid w:val="0087550C"/>
    <w:rsid w:val="008771E2"/>
    <w:rsid w:val="008810F9"/>
    <w:rsid w:val="00882C53"/>
    <w:rsid w:val="00883E10"/>
    <w:rsid w:val="00884A37"/>
    <w:rsid w:val="008859E2"/>
    <w:rsid w:val="00885C51"/>
    <w:rsid w:val="008867F5"/>
    <w:rsid w:val="00890618"/>
    <w:rsid w:val="008925C2"/>
    <w:rsid w:val="0089452D"/>
    <w:rsid w:val="00896B85"/>
    <w:rsid w:val="008A0E95"/>
    <w:rsid w:val="008A243D"/>
    <w:rsid w:val="008A27A9"/>
    <w:rsid w:val="008B14BA"/>
    <w:rsid w:val="008B368D"/>
    <w:rsid w:val="008B3A95"/>
    <w:rsid w:val="008C4328"/>
    <w:rsid w:val="008C4E76"/>
    <w:rsid w:val="008C6AAD"/>
    <w:rsid w:val="008C7470"/>
    <w:rsid w:val="008D06C6"/>
    <w:rsid w:val="008D4C38"/>
    <w:rsid w:val="008D5E9D"/>
    <w:rsid w:val="008D6324"/>
    <w:rsid w:val="008D72EC"/>
    <w:rsid w:val="008D7460"/>
    <w:rsid w:val="008E11EB"/>
    <w:rsid w:val="008E457E"/>
    <w:rsid w:val="008E49A6"/>
    <w:rsid w:val="008E6250"/>
    <w:rsid w:val="008E7AAC"/>
    <w:rsid w:val="008F015B"/>
    <w:rsid w:val="008F04DE"/>
    <w:rsid w:val="008F10B5"/>
    <w:rsid w:val="008F285A"/>
    <w:rsid w:val="008F2861"/>
    <w:rsid w:val="00900CD7"/>
    <w:rsid w:val="009042FB"/>
    <w:rsid w:val="00906263"/>
    <w:rsid w:val="00906AFE"/>
    <w:rsid w:val="00917C6F"/>
    <w:rsid w:val="00920249"/>
    <w:rsid w:val="0092140E"/>
    <w:rsid w:val="009220EF"/>
    <w:rsid w:val="0092493C"/>
    <w:rsid w:val="00925DC0"/>
    <w:rsid w:val="009275DF"/>
    <w:rsid w:val="00931E27"/>
    <w:rsid w:val="009325D3"/>
    <w:rsid w:val="00932F14"/>
    <w:rsid w:val="00940182"/>
    <w:rsid w:val="0094247F"/>
    <w:rsid w:val="009426A6"/>
    <w:rsid w:val="00942D60"/>
    <w:rsid w:val="0094358A"/>
    <w:rsid w:val="00944AD7"/>
    <w:rsid w:val="009460B9"/>
    <w:rsid w:val="009460FA"/>
    <w:rsid w:val="00947019"/>
    <w:rsid w:val="00947534"/>
    <w:rsid w:val="009478A1"/>
    <w:rsid w:val="00952ACE"/>
    <w:rsid w:val="009576A0"/>
    <w:rsid w:val="00960329"/>
    <w:rsid w:val="0096161D"/>
    <w:rsid w:val="00962DDF"/>
    <w:rsid w:val="00963AE3"/>
    <w:rsid w:val="00963C56"/>
    <w:rsid w:val="00963FDE"/>
    <w:rsid w:val="0096523B"/>
    <w:rsid w:val="009675B0"/>
    <w:rsid w:val="0097269C"/>
    <w:rsid w:val="00972D06"/>
    <w:rsid w:val="00973387"/>
    <w:rsid w:val="00973F78"/>
    <w:rsid w:val="009774E8"/>
    <w:rsid w:val="009776CE"/>
    <w:rsid w:val="00977DB8"/>
    <w:rsid w:val="009803DD"/>
    <w:rsid w:val="009804BC"/>
    <w:rsid w:val="009807B7"/>
    <w:rsid w:val="00982209"/>
    <w:rsid w:val="00983458"/>
    <w:rsid w:val="009857C5"/>
    <w:rsid w:val="009877CA"/>
    <w:rsid w:val="0099323D"/>
    <w:rsid w:val="00994B33"/>
    <w:rsid w:val="0099623A"/>
    <w:rsid w:val="00996AD6"/>
    <w:rsid w:val="009A0BCA"/>
    <w:rsid w:val="009A1736"/>
    <w:rsid w:val="009A2699"/>
    <w:rsid w:val="009A2DC9"/>
    <w:rsid w:val="009A391C"/>
    <w:rsid w:val="009A420A"/>
    <w:rsid w:val="009A7E61"/>
    <w:rsid w:val="009B1DD1"/>
    <w:rsid w:val="009B64DA"/>
    <w:rsid w:val="009B7170"/>
    <w:rsid w:val="009B7951"/>
    <w:rsid w:val="009C013F"/>
    <w:rsid w:val="009C1250"/>
    <w:rsid w:val="009D03F5"/>
    <w:rsid w:val="009D12C1"/>
    <w:rsid w:val="009D2982"/>
    <w:rsid w:val="009D3BFA"/>
    <w:rsid w:val="009D6AD7"/>
    <w:rsid w:val="009E06BD"/>
    <w:rsid w:val="009E0A61"/>
    <w:rsid w:val="009E12C0"/>
    <w:rsid w:val="009E3010"/>
    <w:rsid w:val="009E46F5"/>
    <w:rsid w:val="009E4FA5"/>
    <w:rsid w:val="009F0E7C"/>
    <w:rsid w:val="009F1D24"/>
    <w:rsid w:val="009F1E7B"/>
    <w:rsid w:val="009F7065"/>
    <w:rsid w:val="009F7D5E"/>
    <w:rsid w:val="00A0150C"/>
    <w:rsid w:val="00A06E6E"/>
    <w:rsid w:val="00A11125"/>
    <w:rsid w:val="00A12516"/>
    <w:rsid w:val="00A15731"/>
    <w:rsid w:val="00A20130"/>
    <w:rsid w:val="00A219C2"/>
    <w:rsid w:val="00A2449C"/>
    <w:rsid w:val="00A275FF"/>
    <w:rsid w:val="00A30B12"/>
    <w:rsid w:val="00A318EB"/>
    <w:rsid w:val="00A36FFC"/>
    <w:rsid w:val="00A37B9C"/>
    <w:rsid w:val="00A45D8F"/>
    <w:rsid w:val="00A5159F"/>
    <w:rsid w:val="00A551B9"/>
    <w:rsid w:val="00A569DA"/>
    <w:rsid w:val="00A56DC7"/>
    <w:rsid w:val="00A632E6"/>
    <w:rsid w:val="00A66FDD"/>
    <w:rsid w:val="00A671E6"/>
    <w:rsid w:val="00A709E5"/>
    <w:rsid w:val="00A710AC"/>
    <w:rsid w:val="00A71DEC"/>
    <w:rsid w:val="00A73255"/>
    <w:rsid w:val="00A74FD1"/>
    <w:rsid w:val="00A75F11"/>
    <w:rsid w:val="00A77CAB"/>
    <w:rsid w:val="00A84A58"/>
    <w:rsid w:val="00A87137"/>
    <w:rsid w:val="00A87490"/>
    <w:rsid w:val="00A9269B"/>
    <w:rsid w:val="00A929A9"/>
    <w:rsid w:val="00A956B6"/>
    <w:rsid w:val="00A96594"/>
    <w:rsid w:val="00AA204D"/>
    <w:rsid w:val="00AA41BA"/>
    <w:rsid w:val="00AA4654"/>
    <w:rsid w:val="00AA6D0D"/>
    <w:rsid w:val="00AA6FA3"/>
    <w:rsid w:val="00AB770D"/>
    <w:rsid w:val="00AC0CEA"/>
    <w:rsid w:val="00AC34BE"/>
    <w:rsid w:val="00AC365F"/>
    <w:rsid w:val="00AC378F"/>
    <w:rsid w:val="00AC37E6"/>
    <w:rsid w:val="00AC428E"/>
    <w:rsid w:val="00AC4823"/>
    <w:rsid w:val="00AD344F"/>
    <w:rsid w:val="00AE0E83"/>
    <w:rsid w:val="00AE1557"/>
    <w:rsid w:val="00AE3303"/>
    <w:rsid w:val="00AE4FFD"/>
    <w:rsid w:val="00AE53E0"/>
    <w:rsid w:val="00AE5BEE"/>
    <w:rsid w:val="00AE6C94"/>
    <w:rsid w:val="00AE6E65"/>
    <w:rsid w:val="00AF24FA"/>
    <w:rsid w:val="00AF387F"/>
    <w:rsid w:val="00AF397D"/>
    <w:rsid w:val="00AF53B3"/>
    <w:rsid w:val="00B0047D"/>
    <w:rsid w:val="00B00E7F"/>
    <w:rsid w:val="00B012C9"/>
    <w:rsid w:val="00B069DF"/>
    <w:rsid w:val="00B07E5B"/>
    <w:rsid w:val="00B07F92"/>
    <w:rsid w:val="00B13395"/>
    <w:rsid w:val="00B14809"/>
    <w:rsid w:val="00B149FE"/>
    <w:rsid w:val="00B17112"/>
    <w:rsid w:val="00B171E1"/>
    <w:rsid w:val="00B21055"/>
    <w:rsid w:val="00B21DCC"/>
    <w:rsid w:val="00B224B6"/>
    <w:rsid w:val="00B23FB1"/>
    <w:rsid w:val="00B25656"/>
    <w:rsid w:val="00B25F37"/>
    <w:rsid w:val="00B26FB3"/>
    <w:rsid w:val="00B30ECD"/>
    <w:rsid w:val="00B331B6"/>
    <w:rsid w:val="00B3515B"/>
    <w:rsid w:val="00B3628D"/>
    <w:rsid w:val="00B37158"/>
    <w:rsid w:val="00B41A69"/>
    <w:rsid w:val="00B42499"/>
    <w:rsid w:val="00B425AA"/>
    <w:rsid w:val="00B433C6"/>
    <w:rsid w:val="00B44422"/>
    <w:rsid w:val="00B44541"/>
    <w:rsid w:val="00B445B9"/>
    <w:rsid w:val="00B461DB"/>
    <w:rsid w:val="00B4637F"/>
    <w:rsid w:val="00B46EA0"/>
    <w:rsid w:val="00B509D4"/>
    <w:rsid w:val="00B5219B"/>
    <w:rsid w:val="00B525F9"/>
    <w:rsid w:val="00B5441A"/>
    <w:rsid w:val="00B55714"/>
    <w:rsid w:val="00B56B17"/>
    <w:rsid w:val="00B6043A"/>
    <w:rsid w:val="00B60E5A"/>
    <w:rsid w:val="00B634EE"/>
    <w:rsid w:val="00B63BBA"/>
    <w:rsid w:val="00B657C8"/>
    <w:rsid w:val="00B70574"/>
    <w:rsid w:val="00B70821"/>
    <w:rsid w:val="00B71428"/>
    <w:rsid w:val="00B71551"/>
    <w:rsid w:val="00B71D1A"/>
    <w:rsid w:val="00B731D3"/>
    <w:rsid w:val="00B75B57"/>
    <w:rsid w:val="00B75B67"/>
    <w:rsid w:val="00B75F71"/>
    <w:rsid w:val="00B77C18"/>
    <w:rsid w:val="00B811B3"/>
    <w:rsid w:val="00B817C9"/>
    <w:rsid w:val="00B839A3"/>
    <w:rsid w:val="00B841DA"/>
    <w:rsid w:val="00B900D8"/>
    <w:rsid w:val="00B902BD"/>
    <w:rsid w:val="00B92501"/>
    <w:rsid w:val="00B94E1C"/>
    <w:rsid w:val="00BA1009"/>
    <w:rsid w:val="00BA2275"/>
    <w:rsid w:val="00BA36B5"/>
    <w:rsid w:val="00BB0EC9"/>
    <w:rsid w:val="00BB30B8"/>
    <w:rsid w:val="00BB381E"/>
    <w:rsid w:val="00BB62A4"/>
    <w:rsid w:val="00BC07DA"/>
    <w:rsid w:val="00BC11D7"/>
    <w:rsid w:val="00BC354D"/>
    <w:rsid w:val="00BC47C2"/>
    <w:rsid w:val="00BC4E65"/>
    <w:rsid w:val="00BC79EB"/>
    <w:rsid w:val="00BD0CC1"/>
    <w:rsid w:val="00BD2A39"/>
    <w:rsid w:val="00BD2E80"/>
    <w:rsid w:val="00BD32E9"/>
    <w:rsid w:val="00BD49FF"/>
    <w:rsid w:val="00BD4B64"/>
    <w:rsid w:val="00BD6D1D"/>
    <w:rsid w:val="00BD7573"/>
    <w:rsid w:val="00BD77E1"/>
    <w:rsid w:val="00BD7879"/>
    <w:rsid w:val="00BE11B8"/>
    <w:rsid w:val="00BE20B3"/>
    <w:rsid w:val="00BE26CD"/>
    <w:rsid w:val="00BE34CE"/>
    <w:rsid w:val="00BF3AA0"/>
    <w:rsid w:val="00BF45A3"/>
    <w:rsid w:val="00BF4C7C"/>
    <w:rsid w:val="00BF7FF0"/>
    <w:rsid w:val="00C00D27"/>
    <w:rsid w:val="00C0373B"/>
    <w:rsid w:val="00C04708"/>
    <w:rsid w:val="00C06870"/>
    <w:rsid w:val="00C07238"/>
    <w:rsid w:val="00C072F3"/>
    <w:rsid w:val="00C07EED"/>
    <w:rsid w:val="00C10AB4"/>
    <w:rsid w:val="00C11AEA"/>
    <w:rsid w:val="00C12502"/>
    <w:rsid w:val="00C13C86"/>
    <w:rsid w:val="00C2372A"/>
    <w:rsid w:val="00C24C4B"/>
    <w:rsid w:val="00C24ED4"/>
    <w:rsid w:val="00C26B3B"/>
    <w:rsid w:val="00C32048"/>
    <w:rsid w:val="00C33DFD"/>
    <w:rsid w:val="00C33E6E"/>
    <w:rsid w:val="00C3476F"/>
    <w:rsid w:val="00C40AA5"/>
    <w:rsid w:val="00C42E14"/>
    <w:rsid w:val="00C4346C"/>
    <w:rsid w:val="00C46F70"/>
    <w:rsid w:val="00C476D0"/>
    <w:rsid w:val="00C5018B"/>
    <w:rsid w:val="00C50A3D"/>
    <w:rsid w:val="00C538A6"/>
    <w:rsid w:val="00C54AE1"/>
    <w:rsid w:val="00C54CCA"/>
    <w:rsid w:val="00C55A82"/>
    <w:rsid w:val="00C563CA"/>
    <w:rsid w:val="00C57053"/>
    <w:rsid w:val="00C6030F"/>
    <w:rsid w:val="00C626E5"/>
    <w:rsid w:val="00C62949"/>
    <w:rsid w:val="00C6310F"/>
    <w:rsid w:val="00C641CF"/>
    <w:rsid w:val="00C6434A"/>
    <w:rsid w:val="00C64555"/>
    <w:rsid w:val="00C6642A"/>
    <w:rsid w:val="00C70A6F"/>
    <w:rsid w:val="00C740E3"/>
    <w:rsid w:val="00C74398"/>
    <w:rsid w:val="00C76C86"/>
    <w:rsid w:val="00C80716"/>
    <w:rsid w:val="00C80D06"/>
    <w:rsid w:val="00C81E4C"/>
    <w:rsid w:val="00C827F1"/>
    <w:rsid w:val="00C830B9"/>
    <w:rsid w:val="00C836E3"/>
    <w:rsid w:val="00C836FF"/>
    <w:rsid w:val="00C854DC"/>
    <w:rsid w:val="00C86202"/>
    <w:rsid w:val="00C86577"/>
    <w:rsid w:val="00C874F7"/>
    <w:rsid w:val="00C906E8"/>
    <w:rsid w:val="00C91371"/>
    <w:rsid w:val="00C91C02"/>
    <w:rsid w:val="00C92510"/>
    <w:rsid w:val="00C92E07"/>
    <w:rsid w:val="00C96868"/>
    <w:rsid w:val="00C96E22"/>
    <w:rsid w:val="00CA0416"/>
    <w:rsid w:val="00CA19A4"/>
    <w:rsid w:val="00CA347D"/>
    <w:rsid w:val="00CA36A6"/>
    <w:rsid w:val="00CA3904"/>
    <w:rsid w:val="00CA5734"/>
    <w:rsid w:val="00CA5F4B"/>
    <w:rsid w:val="00CA6AD7"/>
    <w:rsid w:val="00CA7C63"/>
    <w:rsid w:val="00CA7D43"/>
    <w:rsid w:val="00CB115C"/>
    <w:rsid w:val="00CB3049"/>
    <w:rsid w:val="00CB42EF"/>
    <w:rsid w:val="00CB7BCD"/>
    <w:rsid w:val="00CC2C11"/>
    <w:rsid w:val="00CC2D8F"/>
    <w:rsid w:val="00CC3764"/>
    <w:rsid w:val="00CC3A35"/>
    <w:rsid w:val="00CC45D5"/>
    <w:rsid w:val="00CC4AFD"/>
    <w:rsid w:val="00CC5468"/>
    <w:rsid w:val="00CC560B"/>
    <w:rsid w:val="00CC71DF"/>
    <w:rsid w:val="00CC75E2"/>
    <w:rsid w:val="00CD230B"/>
    <w:rsid w:val="00CD238F"/>
    <w:rsid w:val="00CD363B"/>
    <w:rsid w:val="00CD4691"/>
    <w:rsid w:val="00CD46EB"/>
    <w:rsid w:val="00CD716B"/>
    <w:rsid w:val="00CD7322"/>
    <w:rsid w:val="00CD7EBF"/>
    <w:rsid w:val="00CE2B33"/>
    <w:rsid w:val="00CE2E65"/>
    <w:rsid w:val="00CE3597"/>
    <w:rsid w:val="00CE59AA"/>
    <w:rsid w:val="00CE5BCB"/>
    <w:rsid w:val="00CE6C97"/>
    <w:rsid w:val="00CF0373"/>
    <w:rsid w:val="00CF0E86"/>
    <w:rsid w:val="00CF6D59"/>
    <w:rsid w:val="00CF72C9"/>
    <w:rsid w:val="00D00DFA"/>
    <w:rsid w:val="00D0239C"/>
    <w:rsid w:val="00D036AE"/>
    <w:rsid w:val="00D03EEA"/>
    <w:rsid w:val="00D04A69"/>
    <w:rsid w:val="00D05038"/>
    <w:rsid w:val="00D056F1"/>
    <w:rsid w:val="00D05861"/>
    <w:rsid w:val="00D058BA"/>
    <w:rsid w:val="00D06616"/>
    <w:rsid w:val="00D07B59"/>
    <w:rsid w:val="00D13D28"/>
    <w:rsid w:val="00D144D7"/>
    <w:rsid w:val="00D1490E"/>
    <w:rsid w:val="00D15A08"/>
    <w:rsid w:val="00D17FC0"/>
    <w:rsid w:val="00D2111A"/>
    <w:rsid w:val="00D21BF1"/>
    <w:rsid w:val="00D22276"/>
    <w:rsid w:val="00D23144"/>
    <w:rsid w:val="00D2362C"/>
    <w:rsid w:val="00D23DB6"/>
    <w:rsid w:val="00D24FFD"/>
    <w:rsid w:val="00D254D7"/>
    <w:rsid w:val="00D2765B"/>
    <w:rsid w:val="00D3430A"/>
    <w:rsid w:val="00D37E9C"/>
    <w:rsid w:val="00D42E32"/>
    <w:rsid w:val="00D4301A"/>
    <w:rsid w:val="00D45193"/>
    <w:rsid w:val="00D470DD"/>
    <w:rsid w:val="00D50434"/>
    <w:rsid w:val="00D50475"/>
    <w:rsid w:val="00D519E8"/>
    <w:rsid w:val="00D51A95"/>
    <w:rsid w:val="00D52167"/>
    <w:rsid w:val="00D53A2D"/>
    <w:rsid w:val="00D5508C"/>
    <w:rsid w:val="00D60568"/>
    <w:rsid w:val="00D64ECB"/>
    <w:rsid w:val="00D65789"/>
    <w:rsid w:val="00D7015C"/>
    <w:rsid w:val="00D70C7A"/>
    <w:rsid w:val="00D72A29"/>
    <w:rsid w:val="00D731D6"/>
    <w:rsid w:val="00D7327B"/>
    <w:rsid w:val="00D74D45"/>
    <w:rsid w:val="00D753D0"/>
    <w:rsid w:val="00D76A88"/>
    <w:rsid w:val="00D8091D"/>
    <w:rsid w:val="00D81E23"/>
    <w:rsid w:val="00D834E5"/>
    <w:rsid w:val="00D836A4"/>
    <w:rsid w:val="00D911CE"/>
    <w:rsid w:val="00D91368"/>
    <w:rsid w:val="00D935A7"/>
    <w:rsid w:val="00D93BDC"/>
    <w:rsid w:val="00D943AC"/>
    <w:rsid w:val="00D95D44"/>
    <w:rsid w:val="00D96C9C"/>
    <w:rsid w:val="00DA10A8"/>
    <w:rsid w:val="00DA377F"/>
    <w:rsid w:val="00DA584A"/>
    <w:rsid w:val="00DB123A"/>
    <w:rsid w:val="00DB19BB"/>
    <w:rsid w:val="00DB1E08"/>
    <w:rsid w:val="00DB2973"/>
    <w:rsid w:val="00DB34E5"/>
    <w:rsid w:val="00DB36AC"/>
    <w:rsid w:val="00DB3B8D"/>
    <w:rsid w:val="00DB76A7"/>
    <w:rsid w:val="00DC0FBA"/>
    <w:rsid w:val="00DC1B56"/>
    <w:rsid w:val="00DC1E57"/>
    <w:rsid w:val="00DC20CC"/>
    <w:rsid w:val="00DC2129"/>
    <w:rsid w:val="00DC4E81"/>
    <w:rsid w:val="00DC5325"/>
    <w:rsid w:val="00DC5D76"/>
    <w:rsid w:val="00DC6570"/>
    <w:rsid w:val="00DC7AEE"/>
    <w:rsid w:val="00DD018F"/>
    <w:rsid w:val="00DD0583"/>
    <w:rsid w:val="00DD265C"/>
    <w:rsid w:val="00DD3703"/>
    <w:rsid w:val="00DD3A9B"/>
    <w:rsid w:val="00DD3CF7"/>
    <w:rsid w:val="00DD4049"/>
    <w:rsid w:val="00DD4A73"/>
    <w:rsid w:val="00DD5695"/>
    <w:rsid w:val="00DE0C4E"/>
    <w:rsid w:val="00DE2096"/>
    <w:rsid w:val="00DE5528"/>
    <w:rsid w:val="00DE6282"/>
    <w:rsid w:val="00DE630C"/>
    <w:rsid w:val="00DE64FD"/>
    <w:rsid w:val="00DF1F01"/>
    <w:rsid w:val="00DF2089"/>
    <w:rsid w:val="00DF25C3"/>
    <w:rsid w:val="00DF3AF0"/>
    <w:rsid w:val="00DF3E39"/>
    <w:rsid w:val="00DF4CE3"/>
    <w:rsid w:val="00DF5CFF"/>
    <w:rsid w:val="00DF72BB"/>
    <w:rsid w:val="00DF7FFB"/>
    <w:rsid w:val="00E00A67"/>
    <w:rsid w:val="00E01657"/>
    <w:rsid w:val="00E04042"/>
    <w:rsid w:val="00E04062"/>
    <w:rsid w:val="00E04363"/>
    <w:rsid w:val="00E063C6"/>
    <w:rsid w:val="00E11815"/>
    <w:rsid w:val="00E17394"/>
    <w:rsid w:val="00E2003B"/>
    <w:rsid w:val="00E2076E"/>
    <w:rsid w:val="00E24029"/>
    <w:rsid w:val="00E26887"/>
    <w:rsid w:val="00E26B16"/>
    <w:rsid w:val="00E279D8"/>
    <w:rsid w:val="00E30092"/>
    <w:rsid w:val="00E319B1"/>
    <w:rsid w:val="00E327A6"/>
    <w:rsid w:val="00E355FC"/>
    <w:rsid w:val="00E3684F"/>
    <w:rsid w:val="00E44290"/>
    <w:rsid w:val="00E44E14"/>
    <w:rsid w:val="00E46EE7"/>
    <w:rsid w:val="00E47B26"/>
    <w:rsid w:val="00E47D3B"/>
    <w:rsid w:val="00E529F3"/>
    <w:rsid w:val="00E5462A"/>
    <w:rsid w:val="00E5492F"/>
    <w:rsid w:val="00E54D36"/>
    <w:rsid w:val="00E559A1"/>
    <w:rsid w:val="00E5694D"/>
    <w:rsid w:val="00E572B1"/>
    <w:rsid w:val="00E6121F"/>
    <w:rsid w:val="00E6254E"/>
    <w:rsid w:val="00E6369A"/>
    <w:rsid w:val="00E6501A"/>
    <w:rsid w:val="00E70A86"/>
    <w:rsid w:val="00E712DA"/>
    <w:rsid w:val="00E723B6"/>
    <w:rsid w:val="00E73E50"/>
    <w:rsid w:val="00E762DC"/>
    <w:rsid w:val="00E76CB8"/>
    <w:rsid w:val="00E777EC"/>
    <w:rsid w:val="00E77FAA"/>
    <w:rsid w:val="00E80FCD"/>
    <w:rsid w:val="00E8327C"/>
    <w:rsid w:val="00E91A14"/>
    <w:rsid w:val="00E92E6F"/>
    <w:rsid w:val="00E9345B"/>
    <w:rsid w:val="00E95B1E"/>
    <w:rsid w:val="00EA1D81"/>
    <w:rsid w:val="00EA2226"/>
    <w:rsid w:val="00EA26C8"/>
    <w:rsid w:val="00EA7DB0"/>
    <w:rsid w:val="00EA7F2F"/>
    <w:rsid w:val="00EB0360"/>
    <w:rsid w:val="00EB1F85"/>
    <w:rsid w:val="00EB576F"/>
    <w:rsid w:val="00EB5F4F"/>
    <w:rsid w:val="00EB6590"/>
    <w:rsid w:val="00EC00DE"/>
    <w:rsid w:val="00EC203D"/>
    <w:rsid w:val="00EC21DF"/>
    <w:rsid w:val="00EC30E1"/>
    <w:rsid w:val="00EC3436"/>
    <w:rsid w:val="00EC3B70"/>
    <w:rsid w:val="00EC5F9D"/>
    <w:rsid w:val="00EC66BB"/>
    <w:rsid w:val="00ED04C0"/>
    <w:rsid w:val="00ED172A"/>
    <w:rsid w:val="00ED1B83"/>
    <w:rsid w:val="00ED6A1E"/>
    <w:rsid w:val="00ED74BA"/>
    <w:rsid w:val="00EE01DC"/>
    <w:rsid w:val="00EE05D2"/>
    <w:rsid w:val="00EE1EAB"/>
    <w:rsid w:val="00EE3DF4"/>
    <w:rsid w:val="00EF103F"/>
    <w:rsid w:val="00EF31F9"/>
    <w:rsid w:val="00EF4509"/>
    <w:rsid w:val="00EF53F5"/>
    <w:rsid w:val="00EF616F"/>
    <w:rsid w:val="00EF727D"/>
    <w:rsid w:val="00F012C6"/>
    <w:rsid w:val="00F01C64"/>
    <w:rsid w:val="00F04584"/>
    <w:rsid w:val="00F05DF2"/>
    <w:rsid w:val="00F1408A"/>
    <w:rsid w:val="00F14AB3"/>
    <w:rsid w:val="00F14BEC"/>
    <w:rsid w:val="00F164F3"/>
    <w:rsid w:val="00F21AC7"/>
    <w:rsid w:val="00F224B7"/>
    <w:rsid w:val="00F225C5"/>
    <w:rsid w:val="00F2587A"/>
    <w:rsid w:val="00F275D6"/>
    <w:rsid w:val="00F31108"/>
    <w:rsid w:val="00F31FEE"/>
    <w:rsid w:val="00F33470"/>
    <w:rsid w:val="00F336AC"/>
    <w:rsid w:val="00F336F6"/>
    <w:rsid w:val="00F34E02"/>
    <w:rsid w:val="00F3585B"/>
    <w:rsid w:val="00F361CA"/>
    <w:rsid w:val="00F3715D"/>
    <w:rsid w:val="00F3761C"/>
    <w:rsid w:val="00F37A10"/>
    <w:rsid w:val="00F406DE"/>
    <w:rsid w:val="00F420C8"/>
    <w:rsid w:val="00F42A4C"/>
    <w:rsid w:val="00F42C8A"/>
    <w:rsid w:val="00F46A1E"/>
    <w:rsid w:val="00F47F2F"/>
    <w:rsid w:val="00F50142"/>
    <w:rsid w:val="00F526BD"/>
    <w:rsid w:val="00F52A36"/>
    <w:rsid w:val="00F54AC8"/>
    <w:rsid w:val="00F54CB8"/>
    <w:rsid w:val="00F55329"/>
    <w:rsid w:val="00F61E45"/>
    <w:rsid w:val="00F634A1"/>
    <w:rsid w:val="00F64AAF"/>
    <w:rsid w:val="00F652F6"/>
    <w:rsid w:val="00F65EE6"/>
    <w:rsid w:val="00F718F8"/>
    <w:rsid w:val="00F73AFA"/>
    <w:rsid w:val="00F73C64"/>
    <w:rsid w:val="00F774B2"/>
    <w:rsid w:val="00F807B0"/>
    <w:rsid w:val="00F81F52"/>
    <w:rsid w:val="00F825EA"/>
    <w:rsid w:val="00F827DC"/>
    <w:rsid w:val="00F82F3C"/>
    <w:rsid w:val="00F838A6"/>
    <w:rsid w:val="00F84164"/>
    <w:rsid w:val="00F85E47"/>
    <w:rsid w:val="00F87CB5"/>
    <w:rsid w:val="00F90F9B"/>
    <w:rsid w:val="00F91BE4"/>
    <w:rsid w:val="00F93522"/>
    <w:rsid w:val="00F9387D"/>
    <w:rsid w:val="00F976C3"/>
    <w:rsid w:val="00F976CD"/>
    <w:rsid w:val="00F97B81"/>
    <w:rsid w:val="00FA51FC"/>
    <w:rsid w:val="00FA6951"/>
    <w:rsid w:val="00FB006E"/>
    <w:rsid w:val="00FB06E7"/>
    <w:rsid w:val="00FB1589"/>
    <w:rsid w:val="00FB187F"/>
    <w:rsid w:val="00FB2487"/>
    <w:rsid w:val="00FB43C8"/>
    <w:rsid w:val="00FB57BD"/>
    <w:rsid w:val="00FB7512"/>
    <w:rsid w:val="00FB783B"/>
    <w:rsid w:val="00FC4BFC"/>
    <w:rsid w:val="00FC55A1"/>
    <w:rsid w:val="00FC5D95"/>
    <w:rsid w:val="00FD4BE4"/>
    <w:rsid w:val="00FD4EC3"/>
    <w:rsid w:val="00FD7547"/>
    <w:rsid w:val="00FE109D"/>
    <w:rsid w:val="00FE287B"/>
    <w:rsid w:val="00FE2A03"/>
    <w:rsid w:val="00FE5646"/>
    <w:rsid w:val="00FE6B50"/>
    <w:rsid w:val="00FE7E23"/>
    <w:rsid w:val="00FF1A95"/>
    <w:rsid w:val="00FF1B03"/>
    <w:rsid w:val="00FF226F"/>
    <w:rsid w:val="00FF3E26"/>
    <w:rsid w:val="00FF5F5C"/>
    <w:rsid w:val="00FF6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3E0DCF0E"/>
  <w15:docId w15:val="{53C567FC-6089-4444-BE1A-233C7A63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2" w:qFormat="1"/>
    <w:lsdException w:name="heading 3" w:uiPriority="9" w:qFormat="1"/>
    <w:lsdException w:name="heading 4" w:uiPriority="9" w:qFormat="1"/>
    <w:lsdException w:name="heading 5"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E1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2"/>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D72EC"/>
    <w:pPr>
      <w:spacing w:before="60" w:after="60"/>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ind w:left="360" w:hanging="360"/>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uiPriority w:val="99"/>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uiPriority w:val="99"/>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uiPriority w:val="99"/>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uiPriority w:val="99"/>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uiPriority w:val="99"/>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uiPriority w:val="99"/>
    <w:qFormat/>
    <w:rsid w:val="00292B9B"/>
    <w:pPr>
      <w:tabs>
        <w:tab w:val="clear" w:pos="1134"/>
        <w:tab w:val="left" w:pos="1701"/>
      </w:tabs>
      <w:spacing w:before="60" w:after="60"/>
      <w:ind w:left="2268" w:hanging="2268"/>
    </w:pPr>
  </w:style>
  <w:style w:type="paragraph" w:customStyle="1" w:styleId="FSCnMain">
    <w:name w:val="FSC_n_Main"/>
    <w:basedOn w:val="FSCtPara"/>
    <w:uiPriority w:val="99"/>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uiPriority w:val="99"/>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uiPriority w:val="99"/>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uiPriority w:val="99"/>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uiPriority w:val="99"/>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FSTableColumnRowheading">
    <w:name w:val="FSTable Column/Row heading"/>
    <w:basedOn w:val="Normal"/>
    <w:uiPriority w:val="8"/>
    <w:qFormat/>
    <w:locked/>
    <w:rsid w:val="00D935A7"/>
    <w:pPr>
      <w:spacing w:before="120" w:after="120"/>
    </w:pPr>
    <w:rPr>
      <w:b/>
      <w:sz w:val="20"/>
      <w:szCs w:val="20"/>
    </w:rPr>
  </w:style>
  <w:style w:type="paragraph" w:styleId="ListParagraph">
    <w:name w:val="List Paragraph"/>
    <w:basedOn w:val="Normal"/>
    <w:uiPriority w:val="34"/>
    <w:qFormat/>
    <w:rsid w:val="00D935A7"/>
    <w:pPr>
      <w:ind w:left="720"/>
      <w:contextualSpacing/>
    </w:pPr>
  </w:style>
  <w:style w:type="paragraph" w:customStyle="1" w:styleId="Subclause">
    <w:name w:val="Subclause"/>
    <w:basedOn w:val="Normal"/>
    <w:uiPriority w:val="11"/>
    <w:qFormat/>
    <w:rsid w:val="00EA1D81"/>
    <w:pPr>
      <w:tabs>
        <w:tab w:val="left" w:pos="851"/>
      </w:tabs>
      <w:ind w:left="567" w:hanging="567"/>
    </w:pPr>
    <w:rPr>
      <w:sz w:val="20"/>
      <w:szCs w:val="20"/>
    </w:rPr>
  </w:style>
  <w:style w:type="paragraph" w:styleId="NormalWeb">
    <w:name w:val="Normal (Web)"/>
    <w:basedOn w:val="Normal"/>
    <w:uiPriority w:val="99"/>
    <w:unhideWhenUsed/>
    <w:rsid w:val="005024C9"/>
    <w:pPr>
      <w:widowControl/>
      <w:spacing w:before="100" w:beforeAutospacing="1" w:after="100" w:afterAutospacing="1"/>
    </w:pPr>
    <w:rPr>
      <w:rFonts w:ascii="Times New Roman" w:hAnsi="Times New Roman"/>
      <w:sz w:val="24"/>
      <w:lang w:eastAsia="en-GB" w:bidi="ar-SA"/>
    </w:rPr>
  </w:style>
  <w:style w:type="paragraph" w:customStyle="1" w:styleId="AARBullet">
    <w:name w:val="AAR Bullet"/>
    <w:basedOn w:val="Normal"/>
    <w:qFormat/>
    <w:rsid w:val="003124CC"/>
    <w:pPr>
      <w:widowControl/>
      <w:numPr>
        <w:numId w:val="26"/>
      </w:numPr>
      <w:spacing w:before="60" w:after="60"/>
    </w:pPr>
    <w:rPr>
      <w:rFonts w:cs="Arial"/>
      <w:sz w:val="20"/>
      <w:lang w:val="en-AU" w:bidi="ar-SA"/>
    </w:rPr>
  </w:style>
  <w:style w:type="character" w:styleId="Strong">
    <w:name w:val="Strong"/>
    <w:basedOn w:val="DefaultParagraphFont"/>
    <w:uiPriority w:val="22"/>
    <w:qFormat/>
    <w:rsid w:val="004D1F5F"/>
    <w:rPr>
      <w:b/>
      <w:bCs/>
    </w:rPr>
  </w:style>
  <w:style w:type="paragraph" w:customStyle="1" w:styleId="CM1">
    <w:name w:val="CM1"/>
    <w:basedOn w:val="Default"/>
    <w:next w:val="Default"/>
    <w:uiPriority w:val="99"/>
    <w:rsid w:val="00E6254E"/>
    <w:rPr>
      <w:rFonts w:ascii="EUAlbertina" w:hAnsi="EUAlbertina"/>
      <w:color w:val="auto"/>
      <w:lang w:val="en-GB"/>
    </w:rPr>
  </w:style>
  <w:style w:type="paragraph" w:customStyle="1" w:styleId="CM3">
    <w:name w:val="CM3"/>
    <w:basedOn w:val="Default"/>
    <w:next w:val="Default"/>
    <w:uiPriority w:val="99"/>
    <w:rsid w:val="00E6254E"/>
    <w:rPr>
      <w:rFonts w:ascii="EUAlbertina" w:hAnsi="EUAlbertina"/>
      <w:color w:val="auto"/>
      <w:lang w:val="en-GB"/>
    </w:rPr>
  </w:style>
  <w:style w:type="character" w:customStyle="1" w:styleId="ilfuvd">
    <w:name w:val="ilfuvd"/>
    <w:basedOn w:val="DefaultParagraphFont"/>
    <w:rsid w:val="0080109D"/>
  </w:style>
  <w:style w:type="table" w:styleId="GridTable4-Accent3">
    <w:name w:val="Grid Table 4 Accent 3"/>
    <w:basedOn w:val="TableNormal"/>
    <w:uiPriority w:val="49"/>
    <w:rsid w:val="001E7CF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
    <w:name w:val="Table"/>
    <w:basedOn w:val="TableNormal"/>
    <w:uiPriority w:val="99"/>
    <w:rsid w:val="0019544D"/>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621">
      <w:bodyDiv w:val="1"/>
      <w:marLeft w:val="0"/>
      <w:marRight w:val="0"/>
      <w:marTop w:val="0"/>
      <w:marBottom w:val="0"/>
      <w:divBdr>
        <w:top w:val="none" w:sz="0" w:space="0" w:color="auto"/>
        <w:left w:val="none" w:sz="0" w:space="0" w:color="auto"/>
        <w:bottom w:val="none" w:sz="0" w:space="0" w:color="auto"/>
        <w:right w:val="none" w:sz="0" w:space="0" w:color="auto"/>
      </w:divBdr>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218441729">
      <w:bodyDiv w:val="1"/>
      <w:marLeft w:val="0"/>
      <w:marRight w:val="0"/>
      <w:marTop w:val="0"/>
      <w:marBottom w:val="0"/>
      <w:divBdr>
        <w:top w:val="none" w:sz="0" w:space="0" w:color="auto"/>
        <w:left w:val="none" w:sz="0" w:space="0" w:color="auto"/>
        <w:bottom w:val="none" w:sz="0" w:space="0" w:color="auto"/>
        <w:right w:val="none" w:sz="0" w:space="0" w:color="auto"/>
      </w:divBdr>
    </w:div>
    <w:div w:id="336544520">
      <w:bodyDiv w:val="1"/>
      <w:marLeft w:val="0"/>
      <w:marRight w:val="0"/>
      <w:marTop w:val="0"/>
      <w:marBottom w:val="0"/>
      <w:divBdr>
        <w:top w:val="none" w:sz="0" w:space="0" w:color="auto"/>
        <w:left w:val="none" w:sz="0" w:space="0" w:color="auto"/>
        <w:bottom w:val="none" w:sz="0" w:space="0" w:color="auto"/>
        <w:right w:val="none" w:sz="0" w:space="0" w:color="auto"/>
      </w:divBdr>
    </w:div>
    <w:div w:id="432677097">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709963276">
      <w:bodyDiv w:val="1"/>
      <w:marLeft w:val="0"/>
      <w:marRight w:val="0"/>
      <w:marTop w:val="0"/>
      <w:marBottom w:val="0"/>
      <w:divBdr>
        <w:top w:val="none" w:sz="0" w:space="0" w:color="auto"/>
        <w:left w:val="none" w:sz="0" w:space="0" w:color="auto"/>
        <w:bottom w:val="none" w:sz="0" w:space="0" w:color="auto"/>
        <w:right w:val="none" w:sz="0" w:space="0" w:color="auto"/>
      </w:divBdr>
    </w:div>
    <w:div w:id="774138185">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76940294">
      <w:bodyDiv w:val="1"/>
      <w:marLeft w:val="0"/>
      <w:marRight w:val="0"/>
      <w:marTop w:val="0"/>
      <w:marBottom w:val="0"/>
      <w:divBdr>
        <w:top w:val="none" w:sz="0" w:space="0" w:color="auto"/>
        <w:left w:val="none" w:sz="0" w:space="0" w:color="auto"/>
        <w:bottom w:val="none" w:sz="0" w:space="0" w:color="auto"/>
        <w:right w:val="none" w:sz="0" w:space="0" w:color="auto"/>
      </w:divBdr>
      <w:divsChild>
        <w:div w:id="1815948369">
          <w:marLeft w:val="0"/>
          <w:marRight w:val="0"/>
          <w:marTop w:val="0"/>
          <w:marBottom w:val="0"/>
          <w:divBdr>
            <w:top w:val="none" w:sz="0" w:space="0" w:color="auto"/>
            <w:left w:val="none" w:sz="0" w:space="0" w:color="auto"/>
            <w:bottom w:val="none" w:sz="0" w:space="0" w:color="auto"/>
            <w:right w:val="none" w:sz="0" w:space="0" w:color="auto"/>
          </w:divBdr>
          <w:divsChild>
            <w:div w:id="900169633">
              <w:marLeft w:val="0"/>
              <w:marRight w:val="0"/>
              <w:marTop w:val="0"/>
              <w:marBottom w:val="0"/>
              <w:divBdr>
                <w:top w:val="none" w:sz="0" w:space="0" w:color="auto"/>
                <w:left w:val="none" w:sz="0" w:space="0" w:color="auto"/>
                <w:bottom w:val="none" w:sz="0" w:space="0" w:color="auto"/>
                <w:right w:val="none" w:sz="0" w:space="0" w:color="auto"/>
              </w:divBdr>
              <w:divsChild>
                <w:div w:id="1588341361">
                  <w:marLeft w:val="-225"/>
                  <w:marRight w:val="-225"/>
                  <w:marTop w:val="0"/>
                  <w:marBottom w:val="0"/>
                  <w:divBdr>
                    <w:top w:val="none" w:sz="0" w:space="0" w:color="auto"/>
                    <w:left w:val="none" w:sz="0" w:space="0" w:color="auto"/>
                    <w:bottom w:val="none" w:sz="0" w:space="0" w:color="auto"/>
                    <w:right w:val="none" w:sz="0" w:space="0" w:color="auto"/>
                  </w:divBdr>
                  <w:divsChild>
                    <w:div w:id="1841776851">
                      <w:marLeft w:val="0"/>
                      <w:marRight w:val="0"/>
                      <w:marTop w:val="0"/>
                      <w:marBottom w:val="0"/>
                      <w:divBdr>
                        <w:top w:val="none" w:sz="0" w:space="0" w:color="auto"/>
                        <w:left w:val="none" w:sz="0" w:space="0" w:color="auto"/>
                        <w:bottom w:val="none" w:sz="0" w:space="0" w:color="auto"/>
                        <w:right w:val="none" w:sz="0" w:space="0" w:color="auto"/>
                      </w:divBdr>
                      <w:divsChild>
                        <w:div w:id="2047824264">
                          <w:marLeft w:val="0"/>
                          <w:marRight w:val="0"/>
                          <w:marTop w:val="0"/>
                          <w:marBottom w:val="0"/>
                          <w:divBdr>
                            <w:top w:val="none" w:sz="0" w:space="0" w:color="auto"/>
                            <w:left w:val="none" w:sz="0" w:space="0" w:color="auto"/>
                            <w:bottom w:val="none" w:sz="0" w:space="0" w:color="auto"/>
                            <w:right w:val="none" w:sz="0" w:space="0" w:color="auto"/>
                          </w:divBdr>
                          <w:divsChild>
                            <w:div w:id="765883990">
                              <w:marLeft w:val="0"/>
                              <w:marRight w:val="0"/>
                              <w:marTop w:val="0"/>
                              <w:marBottom w:val="0"/>
                              <w:divBdr>
                                <w:top w:val="none" w:sz="0" w:space="0" w:color="auto"/>
                                <w:left w:val="none" w:sz="0" w:space="0" w:color="auto"/>
                                <w:bottom w:val="none" w:sz="0" w:space="0" w:color="auto"/>
                                <w:right w:val="none" w:sz="0" w:space="0" w:color="auto"/>
                              </w:divBdr>
                              <w:divsChild>
                                <w:div w:id="588275987">
                                  <w:marLeft w:val="0"/>
                                  <w:marRight w:val="0"/>
                                  <w:marTop w:val="0"/>
                                  <w:marBottom w:val="0"/>
                                  <w:divBdr>
                                    <w:top w:val="none" w:sz="0" w:space="0" w:color="auto"/>
                                    <w:left w:val="none" w:sz="0" w:space="0" w:color="auto"/>
                                    <w:bottom w:val="none" w:sz="0" w:space="0" w:color="auto"/>
                                    <w:right w:val="none" w:sz="0" w:space="0" w:color="auto"/>
                                  </w:divBdr>
                                  <w:divsChild>
                                    <w:div w:id="15815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530633">
      <w:bodyDiv w:val="1"/>
      <w:marLeft w:val="0"/>
      <w:marRight w:val="0"/>
      <w:marTop w:val="0"/>
      <w:marBottom w:val="0"/>
      <w:divBdr>
        <w:top w:val="none" w:sz="0" w:space="0" w:color="auto"/>
        <w:left w:val="none" w:sz="0" w:space="0" w:color="auto"/>
        <w:bottom w:val="none" w:sz="0" w:space="0" w:color="auto"/>
        <w:right w:val="none" w:sz="0" w:space="0" w:color="auto"/>
      </w:divBdr>
    </w:div>
    <w:div w:id="967396047">
      <w:bodyDiv w:val="1"/>
      <w:marLeft w:val="0"/>
      <w:marRight w:val="0"/>
      <w:marTop w:val="0"/>
      <w:marBottom w:val="0"/>
      <w:divBdr>
        <w:top w:val="none" w:sz="0" w:space="0" w:color="auto"/>
        <w:left w:val="none" w:sz="0" w:space="0" w:color="auto"/>
        <w:bottom w:val="none" w:sz="0" w:space="0" w:color="auto"/>
        <w:right w:val="none" w:sz="0" w:space="0" w:color="auto"/>
      </w:divBdr>
    </w:div>
    <w:div w:id="1032611521">
      <w:bodyDiv w:val="1"/>
      <w:marLeft w:val="0"/>
      <w:marRight w:val="0"/>
      <w:marTop w:val="0"/>
      <w:marBottom w:val="0"/>
      <w:divBdr>
        <w:top w:val="none" w:sz="0" w:space="0" w:color="auto"/>
        <w:left w:val="none" w:sz="0" w:space="0" w:color="auto"/>
        <w:bottom w:val="none" w:sz="0" w:space="0" w:color="auto"/>
        <w:right w:val="none" w:sz="0" w:space="0" w:color="auto"/>
      </w:divBdr>
    </w:div>
    <w:div w:id="1070274892">
      <w:bodyDiv w:val="1"/>
      <w:marLeft w:val="0"/>
      <w:marRight w:val="0"/>
      <w:marTop w:val="0"/>
      <w:marBottom w:val="0"/>
      <w:divBdr>
        <w:top w:val="none" w:sz="0" w:space="0" w:color="auto"/>
        <w:left w:val="none" w:sz="0" w:space="0" w:color="auto"/>
        <w:bottom w:val="none" w:sz="0" w:space="0" w:color="auto"/>
        <w:right w:val="none" w:sz="0" w:space="0" w:color="auto"/>
      </w:divBdr>
    </w:div>
    <w:div w:id="1272664585">
      <w:bodyDiv w:val="1"/>
      <w:marLeft w:val="0"/>
      <w:marRight w:val="0"/>
      <w:marTop w:val="0"/>
      <w:marBottom w:val="0"/>
      <w:divBdr>
        <w:top w:val="none" w:sz="0" w:space="0" w:color="auto"/>
        <w:left w:val="none" w:sz="0" w:space="0" w:color="auto"/>
        <w:bottom w:val="none" w:sz="0" w:space="0" w:color="auto"/>
        <w:right w:val="none" w:sz="0" w:space="0" w:color="auto"/>
      </w:divBdr>
    </w:div>
    <w:div w:id="141416012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20647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foodstandards.gov.au/Search/Pages/results.aspx?k=A1155" TargetMode="External"/><Relationship Id="rId26" Type="http://schemas.openxmlformats.org/officeDocument/2006/relationships/hyperlink" Target="http://www.foodstandards.gov.au/code/applications/Documents/A1155_SD1_Risk%20assessment%20-%202nd%20CFS.pdf" TargetMode="External"/><Relationship Id="rId39" Type="http://schemas.openxmlformats.org/officeDocument/2006/relationships/hyperlink" Target="https://www.cfs.gov.hk/english/food_leg/files/Formula_Products_for_Infants/Technical_Guidance_Notes_e.pdf" TargetMode="External"/><Relationship Id="rId21" Type="http://schemas.openxmlformats.org/officeDocument/2006/relationships/hyperlink" Target="http://www.foodstandards.gov.au/code/proposals/Pages/proposalp306addition3639.aspx" TargetMode="External"/><Relationship Id="rId34" Type="http://schemas.openxmlformats.org/officeDocument/2006/relationships/hyperlink" Target="http://fsintranet/IWG/Board/Documents/Board%20meetings/FSANZ79%2011%20and%2012%20September%202019/Item%20B3%20A1173%20-%20Minimum%20protein%20in%20follow-on%20formula/A1173%20SD2%20Regard%20to%20Ministerial%20Policy%20Guidelines.docx"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oodstandards.gov.au/code/applications/Documents/A1155_SD1_Risk%20assessment%20-%202nd%20CFS.pdf" TargetMode="External"/><Relationship Id="rId29" Type="http://schemas.openxmlformats.org/officeDocument/2006/relationships/hyperlink" Target="http://www.foodstandards.gov.au/code/applications/Documents/A1155_SD1_Risk%20assessment%20-%202nd%20CFS.pdf"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eur-lex.europa.eu/legal-content/EN/TXT/?uri=CELEX:32016R0127" TargetMode="External"/><Relationship Id="rId32" Type="http://schemas.openxmlformats.org/officeDocument/2006/relationships/footer" Target="footer4.xml"/><Relationship Id="rId37" Type="http://schemas.openxmlformats.org/officeDocument/2006/relationships/hyperlink" Target="http://www.foodstandards.gov.au/code/applications/Documents/A1155%20SD2%20Policy%20guidelines%20-%202nd%20CFS.pdf" TargetMode="External"/><Relationship Id="rId40" Type="http://schemas.openxmlformats.org/officeDocument/2006/relationships/hyperlink" Target="https://www.fda.gov/regulatory-information/search-fda-guidance-documents/guidance-industry-labeling-infant-formula"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yperlink" Target="http://www.foodstandards.gov.au/code/applications/Pages/A1155&#8211;2&#8217;-FL-and-LNnT-in-infant-formula-and-other-products-.aspx" TargetMode="External"/><Relationship Id="rId36" Type="http://schemas.openxmlformats.org/officeDocument/2006/relationships/hyperlink" Target="http://www.foodstandards.gov.au/code/applications/Documents/A1155_SD1_Risk%20assessment%20-%202nd%20CFS.pdf" TargetMode="External"/><Relationship Id="rId10" Type="http://schemas.openxmlformats.org/officeDocument/2006/relationships/settings" Target="settings.xml"/><Relationship Id="rId19" Type="http://schemas.openxmlformats.org/officeDocument/2006/relationships/hyperlink" Target="https://www.foodstandards.gov.au/code/applications/Pages/A1155.aspx" TargetMode="External"/><Relationship Id="rId31" Type="http://schemas.openxmlformats.org/officeDocument/2006/relationships/hyperlink" Target="http://www.foodstandards.gov.au/code/applications/Pages/A1155&#8211;2&#8217;-FL-and-LNnT-in-infant-formula-and-other-products-.aspx" TargetMode="External"/><Relationship Id="rId43"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foodstandards.gov.au/code/applications/Pages/applicationa1055shor4991.aspx" TargetMode="External"/><Relationship Id="rId27" Type="http://schemas.openxmlformats.org/officeDocument/2006/relationships/hyperlink" Target="http://www.foodstandards.gov.au/code/applications/Pages/A1155&#8211;2&#8217;-FL-and-LNnT-in-infant-formula-and-other-products-.aspx" TargetMode="External"/><Relationship Id="rId30" Type="http://schemas.openxmlformats.org/officeDocument/2006/relationships/image" Target="media/image2.png"/><Relationship Id="rId35" Type="http://schemas.openxmlformats.org/officeDocument/2006/relationships/hyperlink" Target="http://www.foodstandards.gov.au/code/applications/Documents/A1155%20Application%20final_Redacted.pdf" TargetMode="External"/><Relationship Id="rId8"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foodstandards.gov.au/code/applications/Pages/A1155&#8211;2&#8217;-FL-and-LNnT-in-infant-formula-and-other-products-.aspx" TargetMode="External"/><Relationship Id="rId33" Type="http://schemas.openxmlformats.org/officeDocument/2006/relationships/hyperlink" Target="http://www.foodstandards.gov.au/code/applications/Pages/A1155&#8211;2&#8217;-FL-and-LNnT-in-infant-formula-and-other-products-.aspx" TargetMode="External"/><Relationship Id="rId38" Type="http://schemas.openxmlformats.org/officeDocument/2006/relationships/hyperlink" Target="https://www.fhs.gov.hk/english/archive/files/reports/Survey_on_Mothers_views_on_FM_promotion_full_2016_fin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alth.nsw.gov.au/Infectious/factsheets/Pages/campylobacteriosis.aspx" TargetMode="External"/><Relationship Id="rId2" Type="http://schemas.openxmlformats.org/officeDocument/2006/relationships/hyperlink" Target="https://eur-lex.europa.eu/legal-content/EN/ALL/?uri=uriserv:OJ.L_.2013.181.01.0035.01.ENG" TargetMode="External"/><Relationship Id="rId1" Type="http://schemas.openxmlformats.org/officeDocument/2006/relationships/hyperlink" Target="http://www.fao.org/fao-who-codexalimentarius/home/en/" TargetMode="External"/><Relationship Id="rId5" Type="http://schemas.openxmlformats.org/officeDocument/2006/relationships/hyperlink" Target="https://www.health.nsw.gov.au/Infectious/factsheets/Pages/campylobacteriosis.aspx" TargetMode="External"/><Relationship Id="rId4" Type="http://schemas.openxmlformats.org/officeDocument/2006/relationships/hyperlink" Target="https://www2.health.vic.gov.au/public-health/infectious-diseases/disease-information-advice/campylobac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a41428b017d04df981d58ffdf035d7b8 xmlns="ec50576e-4a27-4780-a1e1-e59563bc70b8">
      <Terms xmlns="http://schemas.microsoft.com/office/infopath/2007/PartnerControls"/>
    </a41428b017d04df981d58ffdf035d7b8>
    <_dlc_DocIdPersistId xmlns="ff5de93e-c5e8-4efc-a1bd-21450292fcfe" xsi:nil="true"/>
    <_dlc_DocId xmlns="ff5de93e-c5e8-4efc-a1bd-21450292fcfe">X3VAMR3A5FUY-552-7607</_dlc_DocId>
    <_dlc_DocIdUrl xmlns="ff5de93e-c5e8-4efc-a1bd-21450292fcfe">
      <Url>http://teams/Sections/RAP/_layouts/15/DocIdRedir.aspx?ID=X3VAMR3A5FUY-552-7607</Url>
      <Description>X3VAMR3A5FUY-552-7607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423B-7642-4039-B24A-EACD8EEFD43F}"/>
</file>

<file path=customXml/itemProps2.xml><?xml version="1.0" encoding="utf-8"?>
<ds:datastoreItem xmlns:ds="http://schemas.openxmlformats.org/officeDocument/2006/customXml" ds:itemID="{783C9716-65AF-4831-85C7-A93B0324E306}"/>
</file>

<file path=customXml/itemProps3.xml><?xml version="1.0" encoding="utf-8"?>
<ds:datastoreItem xmlns:ds="http://schemas.openxmlformats.org/officeDocument/2006/customXml" ds:itemID="{68C68616-AE0B-433A-9788-94320AAA84BD}">
  <ds:schemaRefs>
    <ds:schemaRef ds:uri="http://schemas.microsoft.com/sharepoint/events"/>
  </ds:schemaRefs>
</ds:datastoreItem>
</file>

<file path=customXml/itemProps4.xml><?xml version="1.0" encoding="utf-8"?>
<ds:datastoreItem xmlns:ds="http://schemas.openxmlformats.org/officeDocument/2006/customXml" ds:itemID="{9787D33B-2ECA-45C7-93BF-0FA9A3776ACF}">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 ds:uri="ec50576e-4a27-4780-a1e1-e59563bc70b8"/>
    <ds:schemaRef ds:uri="ff5de93e-c5e8-4efc-a1bd-21450292fcfe"/>
    <ds:schemaRef ds:uri="http://www.w3.org/XML/1998/namespace"/>
  </ds:schemaRefs>
</ds:datastoreItem>
</file>

<file path=customXml/itemProps5.xml><?xml version="1.0" encoding="utf-8"?>
<ds:datastoreItem xmlns:ds="http://schemas.openxmlformats.org/officeDocument/2006/customXml" ds:itemID="{529128DC-A2B2-4B7C-8F80-7BF2B0640EEF}"/>
</file>

<file path=customXml/itemProps6.xml><?xml version="1.0" encoding="utf-8"?>
<ds:datastoreItem xmlns:ds="http://schemas.openxmlformats.org/officeDocument/2006/customXml" ds:itemID="{9787D33B-2ECA-45C7-93BF-0FA9A3776ACF}"/>
</file>

<file path=customXml/itemProps7.xml><?xml version="1.0" encoding="utf-8"?>
<ds:datastoreItem xmlns:ds="http://schemas.openxmlformats.org/officeDocument/2006/customXml" ds:itemID="{C2F55846-2C1E-40C6-A6EE-89F0868D7538}"/>
</file>

<file path=docProps/app.xml><?xml version="1.0" encoding="utf-8"?>
<Properties xmlns="http://schemas.openxmlformats.org/officeDocument/2006/extended-properties" xmlns:vt="http://schemas.openxmlformats.org/officeDocument/2006/docPropsVTypes">
  <Template>Normal</Template>
  <TotalTime>0</TotalTime>
  <Pages>3</Pages>
  <Words>28993</Words>
  <Characters>165265</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193871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Cathie</dc:creator>
  <cp:keywords/>
  <cp:lastModifiedBy>CoughC</cp:lastModifiedBy>
  <cp:revision>5</cp:revision>
  <cp:lastPrinted>2019-10-29T00:29:00Z</cp:lastPrinted>
  <dcterms:created xsi:type="dcterms:W3CDTF">2019-12-22T23:05:00Z</dcterms:created>
  <dcterms:modified xsi:type="dcterms:W3CDTF">2019-12-22T23:05:00Z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BCS_">
    <vt:lpwstr>40;#Evaluation|43bd8487-b9f6-4055-946c-a118d364275d</vt:lpwstr>
  </property>
  <property fmtid="{D5CDD505-2E9C-101B-9397-08002B2CF9AE}" pid="6" name="_dlc_DocIdItemGuid">
    <vt:lpwstr>80025563-6acb-489a-91fd-cf900a4fc0ad</vt:lpwstr>
  </property>
  <property fmtid="{D5CDD505-2E9C-101B-9397-08002B2CF9AE}" pid="7" name="docIndexRef">
    <vt:lpwstr>2fc237f3-9a4b-4f79-82fe-16d4d4c35ea3</vt:lpwstr>
  </property>
  <property fmtid="{D5CDD505-2E9C-101B-9397-08002B2CF9AE}" pid="8" name="DisposalClass">
    <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ies>
</file>